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8.webp" ContentType="image/webp"/>
  <Override PartName="/word/media/image9.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8718E">
      <w:pPr>
        <w:spacing w:line="360" w:lineRule="auto"/>
        <w:jc w:val="both"/>
        <w:rPr>
          <w:rFonts w:hint="eastAsia"/>
          <w:lang w:val="en-US" w:eastAsia="zh-CN"/>
        </w:rPr>
      </w:pPr>
      <w:r>
        <w:rPr>
          <w:rFonts w:hint="eastAsia"/>
          <w:lang w:val="en-US" w:eastAsia="zh-CN"/>
        </w:rPr>
        <w:t xml:space="preserve">      </w:t>
      </w:r>
    </w:p>
    <w:p w14:paraId="792D9D9E">
      <w:pPr>
        <w:spacing w:line="360" w:lineRule="auto"/>
        <w:jc w:val="center"/>
        <w:rPr>
          <w:rStyle w:val="13"/>
          <w:rFonts w:hint="eastAsia" w:ascii="微软雅黑" w:hAnsi="微软雅黑" w:eastAsia="宋体" w:cs="微软雅黑"/>
          <w:b/>
          <w:color w:val="000000" w:themeColor="text1"/>
          <w:sz w:val="44"/>
          <w:szCs w:val="44"/>
          <w:lang w:eastAsia="zh-CN"/>
          <w14:textFill>
            <w14:solidFill>
              <w14:schemeClr w14:val="tx1"/>
            </w14:solidFill>
          </w14:textFill>
        </w:rPr>
      </w:pPr>
      <w:r>
        <w:rPr>
          <w:rStyle w:val="13"/>
          <w:rFonts w:hint="eastAsia" w:ascii="微软雅黑" w:hAnsi="微软雅黑" w:eastAsia="宋体" w:cs="微软雅黑"/>
          <w:b/>
          <w:color w:val="000000" w:themeColor="text1"/>
          <w:sz w:val="44"/>
          <w:szCs w:val="44"/>
          <w:lang w:eastAsia="zh-CN"/>
          <w14:textFill>
            <w14:solidFill>
              <w14:schemeClr w14:val="tx1"/>
            </w14:solidFill>
          </w14:textFill>
        </w:rPr>
        <w:drawing>
          <wp:inline distT="0" distB="0" distL="114300" distR="114300">
            <wp:extent cx="4476750" cy="5613400"/>
            <wp:effectExtent l="0" t="0" r="0" b="6350"/>
            <wp:docPr id="6" name="图片 6" descr="e05c58aed0b73581def588b17950c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5c58aed0b73581def588b17950c6ef"/>
                    <pic:cNvPicPr>
                      <a:picLocks noChangeAspect="1"/>
                    </pic:cNvPicPr>
                  </pic:nvPicPr>
                  <pic:blipFill>
                    <a:blip r:embed="rId5"/>
                    <a:stretch>
                      <a:fillRect/>
                    </a:stretch>
                  </pic:blipFill>
                  <pic:spPr>
                    <a:xfrm>
                      <a:off x="0" y="0"/>
                      <a:ext cx="4476750" cy="5613400"/>
                    </a:xfrm>
                    <a:prstGeom prst="rect">
                      <a:avLst/>
                    </a:prstGeom>
                  </pic:spPr>
                </pic:pic>
              </a:graphicData>
            </a:graphic>
          </wp:inline>
        </w:drawing>
      </w:r>
    </w:p>
    <w:p w14:paraId="1CE00456">
      <w:pPr>
        <w:rPr>
          <w:rFonts w:hint="eastAsia"/>
        </w:rPr>
      </w:pPr>
    </w:p>
    <w:p w14:paraId="7F38A00C">
      <w:pPr>
        <w:rPr>
          <w:rFonts w:hint="eastAsia"/>
        </w:rPr>
      </w:pPr>
    </w:p>
    <w:p w14:paraId="06C1EA6A">
      <w:pPr>
        <w:spacing w:line="360" w:lineRule="auto"/>
        <w:jc w:val="center"/>
        <w:rPr>
          <w:rStyle w:val="13"/>
          <w:rFonts w:hint="eastAsia" w:ascii="微软雅黑" w:hAnsi="微软雅黑" w:eastAsia="微软雅黑" w:cs="微软雅黑"/>
          <w:b/>
          <w:color w:val="000000" w:themeColor="text1"/>
          <w:sz w:val="44"/>
          <w:szCs w:val="44"/>
          <w14:textFill>
            <w14:solidFill>
              <w14:schemeClr w14:val="tx1"/>
            </w14:solidFill>
          </w14:textFill>
        </w:rPr>
      </w:pPr>
      <w:r>
        <w:rPr>
          <w:rStyle w:val="13"/>
          <w:rFonts w:hint="eastAsia" w:ascii="微软雅黑" w:hAnsi="微软雅黑" w:eastAsia="微软雅黑" w:cs="微软雅黑"/>
          <w:b/>
          <w:color w:val="000000" w:themeColor="text1"/>
          <w:sz w:val="44"/>
          <w:szCs w:val="44"/>
          <w14:textFill>
            <w14:solidFill>
              <w14:schemeClr w14:val="tx1"/>
            </w14:solidFill>
          </w14:textFill>
        </w:rPr>
        <w:t>卓越工程师创新</w:t>
      </w:r>
      <w:r>
        <w:rPr>
          <w:rStyle w:val="13"/>
          <w:rFonts w:hint="eastAsia" w:ascii="微软雅黑" w:hAnsi="微软雅黑" w:eastAsia="微软雅黑" w:cs="微软雅黑"/>
          <w:b/>
          <w:color w:val="000000" w:themeColor="text1"/>
          <w:sz w:val="44"/>
          <w:szCs w:val="44"/>
          <w:lang w:val="en-US" w:eastAsia="zh-CN"/>
          <w14:textFill>
            <w14:solidFill>
              <w14:schemeClr w14:val="tx1"/>
            </w14:solidFill>
          </w14:textFill>
        </w:rPr>
        <w:t>实践</w:t>
      </w:r>
      <w:r>
        <w:rPr>
          <w:rStyle w:val="13"/>
          <w:rFonts w:hint="eastAsia" w:ascii="微软雅黑" w:hAnsi="微软雅黑" w:eastAsia="微软雅黑" w:cs="微软雅黑"/>
          <w:b/>
          <w:color w:val="000000" w:themeColor="text1"/>
          <w:sz w:val="44"/>
          <w:szCs w:val="44"/>
          <w14:textFill>
            <w14:solidFill>
              <w14:schemeClr w14:val="tx1"/>
            </w14:solidFill>
          </w14:textFill>
        </w:rPr>
        <w:t>项目</w:t>
      </w:r>
    </w:p>
    <w:p w14:paraId="78339C3A">
      <w:pPr>
        <w:spacing w:line="360" w:lineRule="auto"/>
        <w:jc w:val="center"/>
        <w:rPr>
          <w:rStyle w:val="13"/>
          <w:rFonts w:hint="eastAsia" w:ascii="微软雅黑" w:hAnsi="微软雅黑" w:eastAsia="微软雅黑" w:cs="微软雅黑"/>
          <w:b/>
          <w:color w:val="000000" w:themeColor="text1"/>
          <w:sz w:val="44"/>
          <w:szCs w:val="44"/>
          <w14:textFill>
            <w14:solidFill>
              <w14:schemeClr w14:val="tx1"/>
            </w14:solidFill>
          </w14:textFill>
        </w:rPr>
      </w:pPr>
      <w:r>
        <w:rPr>
          <w:rStyle w:val="13"/>
          <w:rFonts w:hint="eastAsia" w:ascii="微软雅黑" w:hAnsi="微软雅黑" w:eastAsia="微软雅黑" w:cs="微软雅黑"/>
          <w:b/>
          <w:color w:val="000000" w:themeColor="text1"/>
          <w:sz w:val="44"/>
          <w:szCs w:val="44"/>
          <w14:textFill>
            <w14:solidFill>
              <w14:schemeClr w14:val="tx1"/>
            </w14:solidFill>
          </w14:textFill>
        </w:rPr>
        <w:t>中国·香港</w:t>
      </w:r>
    </w:p>
    <w:p w14:paraId="49D1AFA8">
      <w:pPr>
        <w:spacing w:line="360" w:lineRule="auto"/>
        <w:jc w:val="center"/>
        <w:rPr>
          <w:rStyle w:val="13"/>
          <w:rFonts w:hint="eastAsia" w:ascii="微软雅黑" w:hAnsi="微软雅黑" w:eastAsia="微软雅黑" w:cs="微软雅黑"/>
          <w:b/>
          <w:color w:val="000000" w:themeColor="text1"/>
          <w:sz w:val="44"/>
          <w:szCs w:val="44"/>
          <w14:textFill>
            <w14:solidFill>
              <w14:schemeClr w14:val="tx1"/>
            </w14:solidFill>
          </w14:textFill>
        </w:rPr>
      </w:pPr>
    </w:p>
    <w:p w14:paraId="38BF33F8">
      <w:pPr>
        <w:rPr>
          <w:rFonts w:hint="eastAsia" w:ascii="微软雅黑" w:hAnsi="微软雅黑" w:eastAsia="微软雅黑" w:cs="微软雅黑"/>
          <w:b/>
          <w:bCs/>
        </w:rPr>
      </w:pPr>
      <w:r>
        <w:rPr>
          <w:rFonts w:hint="eastAsia" w:ascii="微软雅黑" w:hAnsi="微软雅黑" w:eastAsia="微软雅黑" w:cs="微软雅黑"/>
          <w:b/>
          <w:bCs/>
        </w:rPr>
        <w:br w:type="page"/>
      </w:r>
    </w:p>
    <w:p w14:paraId="30331C81">
      <w:pPr>
        <w:spacing w:line="360" w:lineRule="auto"/>
        <w:rPr>
          <w:rFonts w:hint="eastAsia" w:ascii="微软雅黑" w:hAnsi="微软雅黑" w:eastAsia="微软雅黑" w:cs="微软雅黑"/>
          <w:b/>
          <w:bCs/>
          <w:lang w:val="en-US" w:eastAsia="zh-CN"/>
        </w:rPr>
      </w:pPr>
      <w:r>
        <w:rPr>
          <w:rFonts w:hint="eastAsia" w:ascii="微软雅黑" w:hAnsi="微软雅黑" w:eastAsia="微软雅黑" w:cs="微软雅黑"/>
          <w:b/>
          <w:bCs/>
        </w:rPr>
        <w:t>项目</w:t>
      </w:r>
      <w:r>
        <w:rPr>
          <w:rFonts w:hint="eastAsia" w:ascii="微软雅黑" w:hAnsi="微软雅黑" w:eastAsia="微软雅黑" w:cs="微软雅黑"/>
          <w:b/>
          <w:bCs/>
          <w:lang w:val="en-US" w:eastAsia="zh-CN"/>
        </w:rPr>
        <w:t>背景</w:t>
      </w:r>
    </w:p>
    <w:p w14:paraId="27273BA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为深入贯彻国家“卓越工程师教育培养计划”的核心精神，着力构建面向未来、接轨国际的高水平工程人才培养体系，聚焦人工智能与机器人等前沿科技领域，整合大湾区产业与创新资源，香港生产力促进局（HKPC）与优必选科技（UBTECH）共同主办为期7天的卓越工程师创新实践项目，旨在通过产教融合、跨境协作的模式，为学生提供沉浸式、系统化的工程实践与创新学习体验。</w:t>
      </w:r>
    </w:p>
    <w:p w14:paraId="5D01FBE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卓越工程师计划”强调各高校培养具有实践能力与创新能力、适应经济社会发展需要的高质量各类型工程技术人才，要求教育内容与产业现实紧密对接；香港生产力局作为香港领先的智能制造与技术创新促进机构，长期致力于推动先进技术的应用与转化，具有深厚的产业网络和培训经验；而优必选科技作为全球人工智能与机器人领域的领军企业，不仅拥有世界一流的技术研发实力，更具备丰富的产品化与商业化经验。</w:t>
      </w:r>
      <w:r>
        <w:rPr>
          <w:rFonts w:hint="eastAsia" w:ascii="微软雅黑" w:hAnsi="微软雅黑" w:eastAsia="微软雅黑" w:cs="微软雅黑"/>
          <w:color w:val="auto"/>
          <w:sz w:val="21"/>
          <w:szCs w:val="21"/>
          <w:lang w:val="en-US" w:eastAsia="zh-CN" w:bidi="ar"/>
        </w:rPr>
        <w:t>三方合作正是</w:t>
      </w:r>
      <w:r>
        <w:rPr>
          <w:rFonts w:hint="eastAsia" w:ascii="微软雅黑" w:hAnsi="微软雅黑" w:eastAsia="微软雅黑" w:cs="微软雅黑"/>
          <w:color w:val="000000"/>
          <w:sz w:val="21"/>
          <w:szCs w:val="21"/>
          <w:lang w:val="en-US" w:eastAsia="zh-CN" w:bidi="ar"/>
        </w:rPr>
        <w:t>基于共同的目标——培养具备国际视野、技术能力和创新思维的下一代工程师。</w:t>
      </w:r>
    </w:p>
    <w:p w14:paraId="5FA631E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本项目从“卓越工程师”育人目标出发，以香港生产力局为协同孵化平台，以优必选科技的真实技术场景为支撑，构建“政策-平台-技术”三层联动逻辑。学生不仅能够深入企业一线参与人工智能与机器人相关课题的实操训练，更将通过工作坊、项目制学习及行业专家指导，理解从技术研发到产业应用的全流程。这一合作模式充分体现教育、产业与科技间的深度协同，是推进工程师培养体系国际化、实战化的重要创新。</w:t>
      </w:r>
    </w:p>
    <w:p w14:paraId="79507DE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因此，本项目不仅是沪港两地在教育科技合作方面的积极尝试，更是响应国家战略、服务未来科技人才成长的关键举措。我们期待通过七天的密集研习，助力学生拓宽科技视野、提升工程实践能力，为中国智能制造业的蓬勃发展储备卓越人才。</w:t>
      </w:r>
    </w:p>
    <w:p w14:paraId="0666DF7A">
      <w:pPr>
        <w:pStyle w:val="2"/>
        <w:spacing w:before="0" w:line="360" w:lineRule="auto"/>
        <w:ind w:right="113"/>
        <w:rPr>
          <w:rFonts w:hint="eastAsia" w:ascii="微软雅黑" w:hAnsi="微软雅黑" w:eastAsia="微软雅黑" w:cs="微软雅黑"/>
          <w:b/>
          <w:bCs/>
          <w:color w:val="auto"/>
          <w:sz w:val="24"/>
          <w:szCs w:val="24"/>
          <w:lang w:val="en-US"/>
        </w:rPr>
      </w:pPr>
    </w:p>
    <w:p w14:paraId="6B031B32">
      <w:pPr>
        <w:pStyle w:val="2"/>
        <w:spacing w:before="0" w:line="360" w:lineRule="auto"/>
        <w:ind w:right="113"/>
        <w:rPr>
          <w:rFonts w:hint="eastAsia" w:ascii="微软雅黑" w:hAnsi="微软雅黑" w:eastAsia="微软雅黑" w:cs="微软雅黑"/>
          <w:b/>
          <w:bCs/>
          <w:color w:val="auto"/>
          <w:sz w:val="24"/>
          <w:szCs w:val="24"/>
          <w:lang w:val="en-US"/>
        </w:rPr>
      </w:pPr>
    </w:p>
    <w:p w14:paraId="44B467AD">
      <w:pPr>
        <w:pStyle w:val="2"/>
        <w:spacing w:before="0" w:line="360" w:lineRule="auto"/>
        <w:ind w:right="113"/>
        <w:rPr>
          <w:rFonts w:hint="eastAsia"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rPr>
        <w:t>项目亮点：</w:t>
      </w:r>
    </w:p>
    <w:p w14:paraId="11FABC9B">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w:t>
      </w:r>
      <w:r>
        <w:rPr>
          <w:rFonts w:hint="eastAsia" w:ascii="微软雅黑" w:hAnsi="微软雅黑" w:eastAsia="微软雅黑" w:cs="微软雅黑"/>
          <w:spacing w:val="-4"/>
          <w:sz w:val="21"/>
          <w:szCs w:val="21"/>
        </w:rPr>
        <w:t>项目安排学生</w:t>
      </w:r>
      <w:r>
        <w:rPr>
          <w:rFonts w:hint="eastAsia" w:ascii="微软雅黑" w:hAnsi="微软雅黑" w:eastAsia="微软雅黑" w:cs="微软雅黑"/>
          <w:spacing w:val="-4"/>
          <w:sz w:val="21"/>
          <w:szCs w:val="21"/>
          <w:lang w:val="en-US" w:eastAsia="zh-CN"/>
        </w:rPr>
        <w:t>在创新企业、科技园区与大学研究中心</w:t>
      </w:r>
      <w:r>
        <w:rPr>
          <w:rFonts w:hint="eastAsia" w:ascii="微软雅黑" w:hAnsi="微软雅黑" w:eastAsia="微软雅黑" w:cs="微软雅黑"/>
          <w:spacing w:val="-4"/>
          <w:sz w:val="21"/>
          <w:szCs w:val="21"/>
        </w:rPr>
        <w:t>实地参</w:t>
      </w:r>
      <w:r>
        <w:rPr>
          <w:rFonts w:hint="eastAsia" w:ascii="微软雅黑" w:hAnsi="微软雅黑" w:eastAsia="微软雅黑" w:cs="微软雅黑"/>
          <w:spacing w:val="-4"/>
          <w:sz w:val="21"/>
          <w:szCs w:val="21"/>
          <w:lang w:val="en-US" w:eastAsia="zh-CN"/>
        </w:rPr>
        <w:t>访学习；</w:t>
      </w:r>
    </w:p>
    <w:p w14:paraId="25D08F9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通过</w:t>
      </w:r>
      <w:r>
        <w:rPr>
          <w:rFonts w:hint="eastAsia" w:ascii="微软雅黑" w:hAnsi="微软雅黑" w:eastAsia="微软雅黑" w:cs="微软雅黑"/>
          <w:spacing w:val="-4"/>
          <w:sz w:val="21"/>
          <w:szCs w:val="21"/>
        </w:rPr>
        <w:t>程序编写、机器人组装、</w:t>
      </w:r>
      <w:r>
        <w:rPr>
          <w:rFonts w:hint="eastAsia" w:ascii="微软雅黑" w:hAnsi="微软雅黑" w:eastAsia="微软雅黑" w:cs="微软雅黑"/>
          <w:color w:val="auto"/>
          <w:spacing w:val="-4"/>
          <w:sz w:val="21"/>
          <w:szCs w:val="21"/>
        </w:rPr>
        <w:t>A</w:t>
      </w:r>
      <w:r>
        <w:rPr>
          <w:rFonts w:hint="eastAsia" w:ascii="微软雅黑" w:hAnsi="微软雅黑" w:eastAsia="微软雅黑" w:cs="微软雅黑"/>
          <w:color w:val="auto"/>
          <w:spacing w:val="-4"/>
          <w:sz w:val="21"/>
          <w:szCs w:val="21"/>
          <w:lang w:val="en-US" w:eastAsia="zh-CN"/>
        </w:rPr>
        <w:t>I</w:t>
      </w:r>
      <w:r>
        <w:rPr>
          <w:rFonts w:hint="eastAsia" w:ascii="微软雅黑" w:hAnsi="微软雅黑" w:eastAsia="微软雅黑" w:cs="微软雅黑"/>
          <w:color w:val="auto"/>
          <w:spacing w:val="-4"/>
          <w:sz w:val="21"/>
          <w:szCs w:val="21"/>
        </w:rPr>
        <w:t>模</w:t>
      </w:r>
      <w:r>
        <w:rPr>
          <w:rFonts w:hint="eastAsia" w:ascii="微软雅黑" w:hAnsi="微软雅黑" w:eastAsia="微软雅黑" w:cs="微软雅黑"/>
          <w:spacing w:val="-4"/>
          <w:sz w:val="21"/>
          <w:szCs w:val="21"/>
        </w:rPr>
        <w:t>组训练、感应器应用</w:t>
      </w:r>
      <w:r>
        <w:rPr>
          <w:rFonts w:hint="eastAsia" w:ascii="微软雅黑" w:hAnsi="微软雅黑" w:eastAsia="微软雅黑" w:cs="微软雅黑"/>
          <w:spacing w:val="-4"/>
          <w:sz w:val="21"/>
          <w:szCs w:val="21"/>
          <w:lang w:val="en-US" w:eastAsia="zh-CN"/>
        </w:rPr>
        <w:t>等</w:t>
      </w:r>
      <w:r>
        <w:rPr>
          <w:rFonts w:hint="eastAsia" w:ascii="微软雅黑" w:hAnsi="微软雅黑" w:eastAsia="微软雅黑" w:cs="微软雅黑"/>
          <w:spacing w:val="-4"/>
          <w:sz w:val="21"/>
          <w:szCs w:val="21"/>
        </w:rPr>
        <w:t>，让学生</w:t>
      </w:r>
      <w:r>
        <w:rPr>
          <w:rFonts w:hint="eastAsia" w:ascii="微软雅黑" w:hAnsi="微软雅黑" w:eastAsia="微软雅黑" w:cs="微软雅黑"/>
          <w:spacing w:val="-4"/>
          <w:sz w:val="21"/>
          <w:szCs w:val="21"/>
          <w:lang w:val="en-US" w:eastAsia="zh-CN"/>
        </w:rPr>
        <w:t>将</w:t>
      </w:r>
      <w:r>
        <w:rPr>
          <w:rFonts w:hint="eastAsia" w:ascii="微软雅黑" w:hAnsi="微软雅黑" w:eastAsia="微软雅黑" w:cs="微软雅黑"/>
          <w:color w:val="auto"/>
          <w:spacing w:val="-4"/>
          <w:sz w:val="21"/>
          <w:szCs w:val="21"/>
          <w:lang w:val="en-US" w:eastAsia="zh-CN"/>
        </w:rPr>
        <w:t>理论学习与实操紧密结合</w:t>
      </w:r>
      <w:r>
        <w:rPr>
          <w:rFonts w:hint="eastAsia" w:ascii="微软雅黑" w:hAnsi="微软雅黑" w:eastAsia="微软雅黑" w:cs="微软雅黑"/>
          <w:spacing w:val="-4"/>
          <w:sz w:val="21"/>
          <w:szCs w:val="21"/>
          <w:lang w:eastAsia="zh-CN"/>
        </w:rPr>
        <w:t>；</w:t>
      </w:r>
    </w:p>
    <w:p w14:paraId="2956A341">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与业界专家和科研人员的互动交流，学生将获得第一手的学术与职场资讯；</w:t>
      </w:r>
    </w:p>
    <w:p w14:paraId="43237788">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w:t>
      </w:r>
      <w:r>
        <w:rPr>
          <w:rFonts w:hint="eastAsia" w:ascii="微软雅黑" w:hAnsi="微软雅黑" w:eastAsia="微软雅黑" w:cs="微软雅黑"/>
          <w:spacing w:val="-4"/>
          <w:sz w:val="21"/>
          <w:szCs w:val="21"/>
        </w:rPr>
        <w:t>通过小组专题制作与展示，学生将模拟真实研发流程，从构思、设计到实践，完成一个具体的人工智能或机器人项目；</w:t>
      </w:r>
    </w:p>
    <w:p w14:paraId="2E1C105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textAlignment w:val="auto"/>
        <w:rPr>
          <w:rFonts w:hint="eastAsia" w:ascii="微软雅黑" w:hAnsi="微软雅黑" w:eastAsia="宋体" w:cs="微软雅黑"/>
          <w:b/>
          <w:bCs/>
          <w:color w:val="auto"/>
          <w:lang w:eastAsia="zh-CN" w:bidi="ar"/>
        </w:rPr>
      </w:pPr>
      <w:r>
        <w:rPr>
          <w:rFonts w:hint="eastAsia" w:ascii="微软雅黑" w:hAnsi="微软雅黑" w:eastAsia="微软雅黑" w:cs="微软雅黑"/>
          <w:color w:val="B72024"/>
          <w:sz w:val="20"/>
          <w:szCs w:val="20"/>
          <w:lang w:val="en-US" w:eastAsia="zh-CN" w:bidi="ar"/>
        </w:rPr>
        <w:t xml:space="preserve">      </w:t>
      </w:r>
      <w:r>
        <w:rPr>
          <w:rFonts w:ascii="宋体" w:hAnsi="宋体" w:eastAsia="宋体" w:cs="宋体"/>
          <w:sz w:val="24"/>
          <w:szCs w:val="24"/>
        </w:rPr>
        <w:drawing>
          <wp:inline distT="0" distB="0" distL="114300" distR="114300">
            <wp:extent cx="2388235" cy="1823720"/>
            <wp:effectExtent l="0" t="0" r="12065" b="5080"/>
            <wp:docPr id="4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IMG_256"/>
                    <pic:cNvPicPr>
                      <a:picLocks noChangeAspect="1"/>
                    </pic:cNvPicPr>
                  </pic:nvPicPr>
                  <pic:blipFill>
                    <a:blip r:embed="rId6"/>
                    <a:srcRect r="13848" b="-431"/>
                    <a:stretch>
                      <a:fillRect/>
                    </a:stretch>
                  </pic:blipFill>
                  <pic:spPr>
                    <a:xfrm>
                      <a:off x="0" y="0"/>
                      <a:ext cx="2388235" cy="182372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ascii="微软雅黑" w:hAnsi="微软雅黑" w:eastAsia="宋体" w:cs="微软雅黑"/>
          <w:b/>
          <w:bCs/>
          <w:color w:val="auto"/>
          <w:lang w:eastAsia="zh-CN" w:bidi="ar"/>
        </w:rPr>
        <w:drawing>
          <wp:inline distT="0" distB="0" distL="114300" distR="114300">
            <wp:extent cx="2305050" cy="1815465"/>
            <wp:effectExtent l="0" t="0" r="0" b="13335"/>
            <wp:docPr id="22" name="图片 22" descr="微信图片_20260127232712_11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60127232712_11_369"/>
                    <pic:cNvPicPr>
                      <a:picLocks noChangeAspect="1"/>
                    </pic:cNvPicPr>
                  </pic:nvPicPr>
                  <pic:blipFill>
                    <a:blip r:embed="rId7">
                      <a:lum bright="24000" contrast="18000"/>
                    </a:blip>
                    <a:srcRect l="7155" r="4588" b="21763"/>
                    <a:stretch>
                      <a:fillRect/>
                    </a:stretch>
                  </pic:blipFill>
                  <pic:spPr>
                    <a:xfrm>
                      <a:off x="0" y="0"/>
                      <a:ext cx="2305050" cy="1815465"/>
                    </a:xfrm>
                    <a:prstGeom prst="rect">
                      <a:avLst/>
                    </a:prstGeom>
                  </pic:spPr>
                </pic:pic>
              </a:graphicData>
            </a:graphic>
          </wp:inline>
        </w:drawing>
      </w:r>
    </w:p>
    <w:p w14:paraId="0AE0B70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45B4AD1E">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BFB0682">
      <w:pPr>
        <w:spacing w:line="360" w:lineRule="auto"/>
        <w:rPr>
          <w:rFonts w:hint="eastAsia" w:ascii="微软雅黑" w:hAnsi="微软雅黑" w:eastAsia="微软雅黑" w:cs="微软雅黑"/>
          <w:b w:val="0"/>
          <w:bCs w:val="0"/>
          <w:color w:val="auto"/>
          <w:sz w:val="20"/>
          <w:szCs w:val="20"/>
          <w:lang w:val="en-US" w:eastAsia="zh-CN" w:bidi="ar"/>
        </w:rPr>
      </w:pPr>
      <w:r>
        <w:rPr>
          <w:rFonts w:hint="eastAsia" w:ascii="微软雅黑" w:hAnsi="微软雅黑" w:eastAsia="微软雅黑" w:cs="微软雅黑"/>
          <w:b/>
          <w:bCs/>
          <w:color w:val="auto"/>
          <w:lang w:bidi="ar"/>
        </w:rPr>
        <w:t>项目时长：</w:t>
      </w:r>
      <w:r>
        <w:rPr>
          <w:rFonts w:hint="eastAsia" w:ascii="微软雅黑" w:hAnsi="微软雅黑" w:eastAsia="微软雅黑" w:cs="微软雅黑"/>
          <w:spacing w:val="-4"/>
          <w:sz w:val="21"/>
          <w:szCs w:val="21"/>
          <w:lang w:val="en-US" w:eastAsia="zh-CN" w:bidi="zh-CN"/>
        </w:rPr>
        <w:t>7天</w:t>
      </w:r>
    </w:p>
    <w:p w14:paraId="1DFBBAB4">
      <w:pPr>
        <w:spacing w:line="360" w:lineRule="auto"/>
        <w:rPr>
          <w:rFonts w:hint="eastAsia" w:ascii="微软雅黑" w:hAnsi="微软雅黑" w:eastAsia="微软雅黑" w:cs="微软雅黑"/>
          <w:spacing w:val="-4"/>
          <w:sz w:val="21"/>
          <w:szCs w:val="21"/>
          <w:lang w:val="zh-CN" w:eastAsia="zh-CN" w:bidi="zh-CN"/>
        </w:rPr>
      </w:pPr>
      <w:r>
        <w:rPr>
          <w:rFonts w:hint="eastAsia" w:ascii="微软雅黑" w:hAnsi="微软雅黑" w:eastAsia="微软雅黑" w:cs="微软雅黑"/>
          <w:b/>
          <w:bCs/>
          <w:color w:val="auto"/>
          <w:lang w:bidi="ar"/>
        </w:rPr>
        <w:t>项目时间：</w:t>
      </w:r>
      <w:r>
        <w:rPr>
          <w:rFonts w:hint="eastAsia" w:ascii="微软雅黑" w:hAnsi="微软雅黑" w:eastAsia="微软雅黑" w:cs="微软雅黑"/>
          <w:spacing w:val="-4"/>
          <w:sz w:val="21"/>
          <w:szCs w:val="21"/>
          <w:lang w:val="en-US" w:eastAsia="zh-CN" w:bidi="zh-CN"/>
        </w:rPr>
        <w:t>第一期</w:t>
      </w:r>
      <w:r>
        <w:rPr>
          <w:rFonts w:hint="eastAsia" w:ascii="微软雅黑" w:hAnsi="微软雅黑" w:eastAsia="微软雅黑" w:cs="微软雅黑"/>
          <w:spacing w:val="-4"/>
          <w:sz w:val="21"/>
          <w:szCs w:val="21"/>
          <w:lang w:val="zh-CN" w:eastAsia="zh-CN" w:bidi="zh-CN"/>
        </w:rPr>
        <w:t>：2026年</w:t>
      </w:r>
      <w:r>
        <w:rPr>
          <w:rFonts w:hint="eastAsia" w:ascii="微软雅黑" w:hAnsi="微软雅黑" w:eastAsia="微软雅黑" w:cs="微软雅黑"/>
          <w:spacing w:val="-4"/>
          <w:sz w:val="21"/>
          <w:szCs w:val="21"/>
          <w:lang w:val="en-US" w:eastAsia="zh-CN" w:bidi="zh-CN"/>
        </w:rPr>
        <w:t>7</w:t>
      </w:r>
      <w:r>
        <w:rPr>
          <w:rFonts w:hint="eastAsia" w:ascii="微软雅黑" w:hAnsi="微软雅黑" w:eastAsia="微软雅黑" w:cs="微软雅黑"/>
          <w:spacing w:val="-4"/>
          <w:sz w:val="21"/>
          <w:szCs w:val="21"/>
          <w:lang w:val="zh-CN" w:eastAsia="zh-CN" w:bidi="zh-CN"/>
        </w:rPr>
        <w:t>月</w:t>
      </w:r>
      <w:r>
        <w:rPr>
          <w:rFonts w:hint="eastAsia" w:ascii="微软雅黑" w:hAnsi="微软雅黑" w:eastAsia="微软雅黑" w:cs="微软雅黑"/>
          <w:spacing w:val="-4"/>
          <w:sz w:val="21"/>
          <w:szCs w:val="21"/>
          <w:lang w:val="en-US" w:eastAsia="zh-CN" w:bidi="zh-CN"/>
        </w:rPr>
        <w:t>19</w:t>
      </w:r>
      <w:r>
        <w:rPr>
          <w:rFonts w:hint="eastAsia" w:ascii="微软雅黑" w:hAnsi="微软雅黑" w:eastAsia="微软雅黑" w:cs="微软雅黑"/>
          <w:spacing w:val="-4"/>
          <w:sz w:val="21"/>
          <w:szCs w:val="21"/>
          <w:lang w:val="zh-CN" w:eastAsia="zh-CN" w:bidi="zh-CN"/>
        </w:rPr>
        <w:t>日— 2026年</w:t>
      </w:r>
      <w:r>
        <w:rPr>
          <w:rFonts w:hint="eastAsia" w:ascii="微软雅黑" w:hAnsi="微软雅黑" w:eastAsia="微软雅黑" w:cs="微软雅黑"/>
          <w:spacing w:val="-4"/>
          <w:sz w:val="21"/>
          <w:szCs w:val="21"/>
          <w:lang w:val="en-US" w:eastAsia="zh-CN" w:bidi="zh-CN"/>
        </w:rPr>
        <w:t>7</w:t>
      </w:r>
      <w:r>
        <w:rPr>
          <w:rFonts w:hint="eastAsia" w:ascii="微软雅黑" w:hAnsi="微软雅黑" w:eastAsia="微软雅黑" w:cs="微软雅黑"/>
          <w:spacing w:val="-4"/>
          <w:sz w:val="21"/>
          <w:szCs w:val="21"/>
          <w:lang w:val="zh-CN" w:eastAsia="zh-CN" w:bidi="zh-CN"/>
        </w:rPr>
        <w:t>月</w:t>
      </w:r>
      <w:r>
        <w:rPr>
          <w:rFonts w:hint="eastAsia" w:ascii="微软雅黑" w:hAnsi="微软雅黑" w:eastAsia="微软雅黑" w:cs="微软雅黑"/>
          <w:spacing w:val="-4"/>
          <w:sz w:val="21"/>
          <w:szCs w:val="21"/>
          <w:lang w:val="en-US" w:eastAsia="zh-CN" w:bidi="zh-CN"/>
        </w:rPr>
        <w:t>25</w:t>
      </w:r>
      <w:r>
        <w:rPr>
          <w:rFonts w:hint="eastAsia" w:ascii="微软雅黑" w:hAnsi="微软雅黑" w:eastAsia="微软雅黑" w:cs="微软雅黑"/>
          <w:spacing w:val="-4"/>
          <w:sz w:val="21"/>
          <w:szCs w:val="21"/>
          <w:lang w:val="zh-CN" w:eastAsia="zh-CN" w:bidi="zh-CN"/>
        </w:rPr>
        <w:t>日</w:t>
      </w:r>
    </w:p>
    <w:p w14:paraId="1B7BEC12">
      <w:pPr>
        <w:spacing w:line="360" w:lineRule="auto"/>
        <w:ind w:firstLine="1212" w:firstLineChars="600"/>
        <w:rPr>
          <w:rFonts w:hint="eastAsia" w:ascii="微软雅黑" w:hAnsi="微软雅黑" w:eastAsia="微软雅黑" w:cs="微软雅黑"/>
          <w:spacing w:val="-4"/>
          <w:sz w:val="21"/>
          <w:szCs w:val="21"/>
          <w:lang w:val="en-US" w:eastAsia="zh-CN" w:bidi="zh-CN"/>
        </w:rPr>
      </w:pPr>
      <w:r>
        <w:rPr>
          <w:rFonts w:hint="eastAsia" w:ascii="微软雅黑" w:hAnsi="微软雅黑" w:eastAsia="微软雅黑" w:cs="微软雅黑"/>
          <w:spacing w:val="-4"/>
          <w:sz w:val="21"/>
          <w:szCs w:val="21"/>
          <w:lang w:val="en-US" w:eastAsia="zh-CN" w:bidi="zh-CN"/>
        </w:rPr>
        <w:t>第二期</w:t>
      </w:r>
      <w:r>
        <w:rPr>
          <w:rFonts w:hint="eastAsia" w:ascii="微软雅黑" w:hAnsi="微软雅黑" w:eastAsia="微软雅黑" w:cs="微软雅黑"/>
          <w:spacing w:val="-4"/>
          <w:sz w:val="21"/>
          <w:szCs w:val="21"/>
          <w:lang w:val="zh-CN" w:eastAsia="zh-CN" w:bidi="zh-CN"/>
        </w:rPr>
        <w:t>：2026年</w:t>
      </w:r>
      <w:r>
        <w:rPr>
          <w:rFonts w:hint="eastAsia" w:ascii="微软雅黑" w:hAnsi="微软雅黑" w:eastAsia="微软雅黑" w:cs="微软雅黑"/>
          <w:spacing w:val="-4"/>
          <w:sz w:val="21"/>
          <w:szCs w:val="21"/>
          <w:lang w:val="en-US" w:eastAsia="zh-CN" w:bidi="zh-CN"/>
        </w:rPr>
        <w:t>7</w:t>
      </w:r>
      <w:r>
        <w:rPr>
          <w:rFonts w:hint="eastAsia" w:ascii="微软雅黑" w:hAnsi="微软雅黑" w:eastAsia="微软雅黑" w:cs="微软雅黑"/>
          <w:spacing w:val="-4"/>
          <w:sz w:val="21"/>
          <w:szCs w:val="21"/>
          <w:lang w:val="zh-CN" w:eastAsia="zh-CN" w:bidi="zh-CN"/>
        </w:rPr>
        <w:t>月</w:t>
      </w:r>
      <w:r>
        <w:rPr>
          <w:rFonts w:hint="eastAsia" w:ascii="微软雅黑" w:hAnsi="微软雅黑" w:eastAsia="微软雅黑" w:cs="微软雅黑"/>
          <w:spacing w:val="-4"/>
          <w:sz w:val="21"/>
          <w:szCs w:val="21"/>
          <w:lang w:val="en-US" w:eastAsia="zh-CN" w:bidi="zh-CN"/>
        </w:rPr>
        <w:t>26</w:t>
      </w:r>
      <w:r>
        <w:rPr>
          <w:rFonts w:hint="eastAsia" w:ascii="微软雅黑" w:hAnsi="微软雅黑" w:eastAsia="微软雅黑" w:cs="微软雅黑"/>
          <w:spacing w:val="-4"/>
          <w:sz w:val="21"/>
          <w:szCs w:val="21"/>
          <w:lang w:val="zh-CN" w:eastAsia="zh-CN" w:bidi="zh-CN"/>
        </w:rPr>
        <w:t>日—</w:t>
      </w:r>
      <w:r>
        <w:rPr>
          <w:rFonts w:hint="eastAsia" w:ascii="微软雅黑" w:hAnsi="微软雅黑" w:eastAsia="微软雅黑" w:cs="微软雅黑"/>
          <w:spacing w:val="-4"/>
          <w:sz w:val="21"/>
          <w:szCs w:val="21"/>
          <w:lang w:val="en-US" w:eastAsia="zh-CN" w:bidi="zh-CN"/>
        </w:rPr>
        <w:t xml:space="preserve"> </w:t>
      </w:r>
      <w:r>
        <w:rPr>
          <w:rFonts w:hint="eastAsia" w:ascii="微软雅黑" w:hAnsi="微软雅黑" w:eastAsia="微软雅黑" w:cs="微软雅黑"/>
          <w:spacing w:val="-4"/>
          <w:sz w:val="21"/>
          <w:szCs w:val="21"/>
          <w:lang w:val="zh-CN" w:eastAsia="zh-CN" w:bidi="zh-CN"/>
        </w:rPr>
        <w:t>2026年</w:t>
      </w:r>
      <w:r>
        <w:rPr>
          <w:rFonts w:hint="eastAsia" w:ascii="微软雅黑" w:hAnsi="微软雅黑" w:eastAsia="微软雅黑" w:cs="微软雅黑"/>
          <w:spacing w:val="-4"/>
          <w:sz w:val="21"/>
          <w:szCs w:val="21"/>
          <w:lang w:val="en-US" w:eastAsia="zh-CN" w:bidi="zh-CN"/>
        </w:rPr>
        <w:t>8</w:t>
      </w:r>
      <w:r>
        <w:rPr>
          <w:rFonts w:hint="eastAsia" w:ascii="微软雅黑" w:hAnsi="微软雅黑" w:eastAsia="微软雅黑" w:cs="微软雅黑"/>
          <w:spacing w:val="-4"/>
          <w:sz w:val="21"/>
          <w:szCs w:val="21"/>
          <w:lang w:val="zh-CN" w:eastAsia="zh-CN" w:bidi="zh-CN"/>
        </w:rPr>
        <w:t>月</w:t>
      </w:r>
      <w:r>
        <w:rPr>
          <w:rFonts w:hint="eastAsia" w:ascii="微软雅黑" w:hAnsi="微软雅黑" w:eastAsia="微软雅黑" w:cs="微软雅黑"/>
          <w:spacing w:val="-4"/>
          <w:sz w:val="21"/>
          <w:szCs w:val="21"/>
          <w:lang w:val="en-US" w:eastAsia="zh-CN" w:bidi="zh-CN"/>
        </w:rPr>
        <w:t>1</w:t>
      </w:r>
      <w:r>
        <w:rPr>
          <w:rFonts w:hint="eastAsia" w:ascii="微软雅黑" w:hAnsi="微软雅黑" w:eastAsia="微软雅黑" w:cs="微软雅黑"/>
          <w:spacing w:val="-4"/>
          <w:sz w:val="21"/>
          <w:szCs w:val="21"/>
          <w:lang w:val="zh-CN" w:eastAsia="zh-CN" w:bidi="zh-CN"/>
        </w:rPr>
        <w:t>日</w:t>
      </w:r>
      <w:r>
        <w:rPr>
          <w:rFonts w:hint="eastAsia" w:ascii="微软雅黑" w:hAnsi="微软雅黑" w:eastAsia="微软雅黑" w:cs="微软雅黑"/>
          <w:spacing w:val="-4"/>
          <w:sz w:val="21"/>
          <w:szCs w:val="21"/>
          <w:lang w:val="en-US" w:eastAsia="zh-CN" w:bidi="zh-CN"/>
        </w:rPr>
        <w:t xml:space="preserve"> </w:t>
      </w:r>
    </w:p>
    <w:p w14:paraId="12C3B5A7">
      <w:pPr>
        <w:spacing w:line="360" w:lineRule="auto"/>
        <w:rPr>
          <w:rFonts w:hint="default"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项目人数：</w:t>
      </w:r>
      <w:r>
        <w:rPr>
          <w:rFonts w:hint="eastAsia" w:ascii="微软雅黑" w:hAnsi="微软雅黑" w:eastAsia="微软雅黑" w:cs="微软雅黑"/>
          <w:spacing w:val="-4"/>
          <w:sz w:val="21"/>
          <w:szCs w:val="21"/>
          <w:lang w:val="en-US" w:eastAsia="zh-CN" w:bidi="zh-CN"/>
        </w:rPr>
        <w:t>一期2个团组，每团组约40人</w:t>
      </w:r>
    </w:p>
    <w:p w14:paraId="5D44084C">
      <w:pPr>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lang w:bidi="ar"/>
        </w:rPr>
        <w:t>项目地点：</w:t>
      </w:r>
      <w:r>
        <w:rPr>
          <w:rFonts w:hint="eastAsia" w:ascii="微软雅黑" w:hAnsi="微软雅黑" w:eastAsia="微软雅黑" w:cs="微软雅黑"/>
          <w:sz w:val="21"/>
          <w:szCs w:val="21"/>
          <w:lang w:val="en-US" w:eastAsia="zh-CN"/>
        </w:rPr>
        <w:t>香港</w:t>
      </w:r>
    </w:p>
    <w:p w14:paraId="6427B3ED">
      <w:pPr>
        <w:spacing w:line="360" w:lineRule="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lang w:val="en-US" w:eastAsia="zh-CN" w:bidi="ar"/>
        </w:rPr>
        <w:t>授课语言：</w:t>
      </w:r>
      <w:r>
        <w:rPr>
          <w:rFonts w:hint="eastAsia" w:ascii="微软雅黑" w:hAnsi="微软雅黑" w:eastAsia="微软雅黑" w:cs="微软雅黑"/>
          <w:sz w:val="21"/>
          <w:szCs w:val="21"/>
          <w:lang w:val="en-US" w:eastAsia="zh-CN"/>
        </w:rPr>
        <w:t>中文</w:t>
      </w:r>
    </w:p>
    <w:p w14:paraId="24E7D6B4">
      <w:pPr>
        <w:spacing w:line="360" w:lineRule="auto"/>
        <w:rPr>
          <w:rFonts w:hint="eastAsia" w:ascii="微软雅黑" w:hAnsi="微软雅黑" w:eastAsia="微软雅黑" w:cs="微软雅黑"/>
          <w:sz w:val="21"/>
          <w:szCs w:val="21"/>
          <w:lang w:val="en-US" w:eastAsia="zh-CN"/>
        </w:rPr>
      </w:pPr>
    </w:p>
    <w:p w14:paraId="04FC9653">
      <w:pPr>
        <w:spacing w:line="360" w:lineRule="auto"/>
        <w:rPr>
          <w:rFonts w:hint="eastAsia" w:ascii="微软雅黑" w:hAnsi="微软雅黑" w:eastAsia="微软雅黑" w:cs="微软雅黑"/>
          <w:sz w:val="21"/>
          <w:szCs w:val="21"/>
          <w:lang w:val="en-US" w:eastAsia="zh-CN"/>
        </w:rPr>
      </w:pPr>
    </w:p>
    <w:p w14:paraId="4406B642">
      <w:pPr>
        <w:spacing w:line="360" w:lineRule="auto"/>
        <w:rPr>
          <w:rFonts w:hint="eastAsia" w:ascii="微软雅黑" w:hAnsi="微软雅黑" w:eastAsia="微软雅黑" w:cs="微软雅黑"/>
          <w:sz w:val="21"/>
          <w:szCs w:val="21"/>
          <w:lang w:val="en-US" w:eastAsia="zh-CN"/>
        </w:rPr>
      </w:pPr>
    </w:p>
    <w:p w14:paraId="29A98B78">
      <w:pPr>
        <w:spacing w:line="360" w:lineRule="auto"/>
        <w:rPr>
          <w:rFonts w:hint="eastAsia" w:ascii="微软雅黑" w:hAnsi="微软雅黑" w:eastAsia="微软雅黑" w:cs="微软雅黑"/>
          <w:b/>
          <w:bCs/>
          <w:color w:val="auto"/>
          <w:lang w:eastAsia="zh-CN" w:bidi="ar"/>
        </w:rPr>
      </w:pPr>
      <w:r>
        <w:rPr>
          <w:rFonts w:hint="eastAsia" w:ascii="微软雅黑" w:hAnsi="微软雅黑" w:eastAsia="微软雅黑" w:cs="微软雅黑"/>
          <w:b/>
          <w:bCs/>
          <w:color w:val="auto"/>
          <w:lang w:bidi="ar"/>
        </w:rPr>
        <w:t>项目收获</w:t>
      </w:r>
      <w:r>
        <w:rPr>
          <w:rFonts w:hint="eastAsia" w:ascii="微软雅黑" w:hAnsi="微软雅黑" w:eastAsia="微软雅黑" w:cs="微软雅黑"/>
          <w:b/>
          <w:bCs/>
          <w:color w:val="auto"/>
          <w:lang w:eastAsia="zh-CN" w:bidi="ar"/>
        </w:rPr>
        <w:t>：</w:t>
      </w:r>
    </w:p>
    <w:p w14:paraId="4089090D">
      <w:pPr>
        <w:spacing w:line="360" w:lineRule="auto"/>
        <w:rPr>
          <w:rFonts w:hint="eastAsia" w:ascii="微软雅黑" w:hAnsi="微软雅黑" w:eastAsia="微软雅黑" w:cs="微软雅黑"/>
          <w:b/>
          <w:bCs/>
          <w:color w:val="000000"/>
          <w:sz w:val="21"/>
          <w:szCs w:val="21"/>
          <w:lang w:val="en-US" w:eastAsia="zh-CN" w:bidi="ar"/>
        </w:rPr>
      </w:pPr>
      <w:r>
        <w:rPr>
          <w:rFonts w:hint="eastAsia" w:ascii="微软雅黑" w:hAnsi="微软雅黑" w:eastAsia="微软雅黑" w:cs="微软雅黑"/>
          <w:b/>
          <w:bCs/>
          <w:color w:val="auto"/>
          <w:sz w:val="32"/>
          <w:szCs w:val="32"/>
          <w:lang w:eastAsia="zh-CN" w:bidi="ar"/>
        </w:rPr>
        <w:t>◆</w:t>
      </w:r>
      <w:r>
        <w:rPr>
          <w:rFonts w:hint="eastAsia" w:ascii="微软雅黑" w:hAnsi="微软雅黑" w:eastAsia="微软雅黑" w:cs="微软雅黑"/>
          <w:b/>
          <w:bCs/>
          <w:color w:val="000000"/>
          <w:sz w:val="21"/>
          <w:szCs w:val="21"/>
          <w:lang w:val="en-US" w:eastAsia="zh-CN" w:bidi="ar"/>
        </w:rPr>
        <w:t>科技知识的全面提升</w:t>
      </w:r>
    </w:p>
    <w:p w14:paraId="7072B365">
      <w:pPr>
        <w:spacing w:line="24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学生将通过学习人工智能的基本概念、机器人运作原理、人工智能与机器人融合应用，认识人工智能如何模拟人类行为，认识到如何将人工智能模型整合进机器人，进一步认识自动化与智能系统的实际应用场景。</w:t>
      </w:r>
    </w:p>
    <w:p w14:paraId="2B888A29">
      <w:pPr>
        <w:spacing w:line="360" w:lineRule="auto"/>
        <w:rPr>
          <w:rFonts w:hint="eastAsia" w:ascii="微软雅黑" w:hAnsi="微软雅黑" w:eastAsia="微软雅黑" w:cs="微软雅黑"/>
          <w:b/>
          <w:bCs/>
          <w:color w:val="000000"/>
          <w:kern w:val="0"/>
          <w:sz w:val="21"/>
          <w:szCs w:val="21"/>
          <w:highlight w:val="none"/>
          <w:lang w:val="en-US" w:eastAsia="zh-CN" w:bidi="ar"/>
        </w:rPr>
      </w:pPr>
      <w:r>
        <w:rPr>
          <w:rFonts w:hint="eastAsia" w:ascii="微软雅黑" w:hAnsi="微软雅黑" w:eastAsia="微软雅黑" w:cs="微软雅黑"/>
          <w:b/>
          <w:bCs/>
          <w:color w:val="000000"/>
          <w:kern w:val="0"/>
          <w:sz w:val="32"/>
          <w:szCs w:val="32"/>
          <w:lang w:val="en-US" w:eastAsia="zh-CN" w:bidi="ar"/>
        </w:rPr>
        <w:t>◆</w:t>
      </w:r>
      <w:r>
        <w:rPr>
          <w:rFonts w:hint="eastAsia" w:ascii="微软雅黑" w:hAnsi="微软雅黑" w:eastAsia="微软雅黑" w:cs="微软雅黑"/>
          <w:b/>
          <w:bCs/>
          <w:color w:val="000000"/>
          <w:kern w:val="0"/>
          <w:sz w:val="21"/>
          <w:szCs w:val="21"/>
          <w:highlight w:val="none"/>
          <w:lang w:val="en-US" w:eastAsia="zh-CN" w:bidi="ar"/>
        </w:rPr>
        <w:t>实践技能的培养与应用</w:t>
      </w:r>
    </w:p>
    <w:p w14:paraId="4F6C6F20">
      <w:pPr>
        <w:spacing w:line="360" w:lineRule="auto"/>
        <w:ind w:firstLine="420" w:firstLineChars="200"/>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highlight w:val="none"/>
          <w:lang w:val="en-US" w:eastAsia="zh-CN" w:bidi="ar"/>
        </w:rPr>
        <w:t>学生将通过课程学习，掌握基础编程语言，并运用于机器人行为控制与逻辑判断；在团队创新项目协作过程中，强化分工合作、时间规划、沟通协调能力，实现从构思到展演的完整项目流程。学生不仅收获创意设计与问题解决能力，也提升团队协作与项目管理的能力。</w:t>
      </w:r>
    </w:p>
    <w:p w14:paraId="2AB6194F">
      <w:pPr>
        <w:spacing w:line="360" w:lineRule="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32"/>
          <w:szCs w:val="32"/>
          <w:lang w:val="en-US" w:eastAsia="zh-CN" w:bidi="ar"/>
        </w:rPr>
        <w:t>◆</w:t>
      </w:r>
      <w:r>
        <w:rPr>
          <w:rFonts w:hint="eastAsia" w:ascii="微软雅黑" w:hAnsi="微软雅黑" w:eastAsia="微软雅黑" w:cs="微软雅黑"/>
          <w:b/>
          <w:bCs/>
          <w:color w:val="000000"/>
          <w:kern w:val="0"/>
          <w:sz w:val="21"/>
          <w:szCs w:val="21"/>
          <w:lang w:val="en-US" w:eastAsia="zh-CN" w:bidi="ar"/>
        </w:rPr>
        <w:t>视野拓展与文化交融</w:t>
      </w:r>
    </w:p>
    <w:p w14:paraId="4C6038B6">
      <w:pPr>
        <w:spacing w:line="360" w:lineRule="auto"/>
        <w:ind w:firstLine="420" w:firstLineChars="200"/>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通过参观香港各大科创机构与企业，学生将接触到最新的技术应用与创业模式，对全球科创生态系统有更清晰的认识。并了解香港作为亚洲科创枢纽的地位，以及本地政府与企业如何推动智慧城市与创新教育。</w:t>
      </w:r>
    </w:p>
    <w:p w14:paraId="194D442C">
      <w:pPr>
        <w:spacing w:line="360" w:lineRule="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32"/>
          <w:szCs w:val="32"/>
          <w:lang w:val="en-US" w:eastAsia="zh-CN" w:bidi="ar"/>
        </w:rPr>
        <w:t>◆</w:t>
      </w:r>
      <w:r>
        <w:rPr>
          <w:rFonts w:hint="eastAsia" w:ascii="微软雅黑" w:hAnsi="微软雅黑" w:eastAsia="微软雅黑" w:cs="微软雅黑"/>
          <w:b/>
          <w:bCs/>
          <w:color w:val="000000"/>
          <w:kern w:val="0"/>
          <w:sz w:val="21"/>
          <w:szCs w:val="21"/>
          <w:lang w:val="en-US" w:eastAsia="zh-CN" w:bidi="ar"/>
        </w:rPr>
        <w:t>学习方式与思维方式的转变</w:t>
      </w:r>
    </w:p>
    <w:p w14:paraId="2781901C">
      <w:pPr>
        <w:spacing w:line="360" w:lineRule="auto"/>
        <w:ind w:firstLine="420" w:firstLineChars="200"/>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通过参与探索式学习与试验活动，激发学生的学习兴趣，鼓励自主探索科技知识。通过与业界专家的接触与企业参访，学生将更清楚自身对人工智能或工程领域的兴趣与潜力，有助于未来升学与职业规划。</w:t>
      </w:r>
    </w:p>
    <w:p w14:paraId="0CA32E68">
      <w:pPr>
        <w:spacing w:line="360" w:lineRule="auto"/>
        <w:rPr>
          <w:rFonts w:hint="eastAsia" w:ascii="微软雅黑" w:hAnsi="微软雅黑" w:eastAsia="微软雅黑" w:cs="微软雅黑"/>
          <w:b/>
          <w:bCs/>
          <w:color w:val="auto"/>
          <w:lang w:val="en-US" w:eastAsia="zh-CN" w:bidi="ar"/>
        </w:rPr>
      </w:pPr>
    </w:p>
    <w:p w14:paraId="57E85B16">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val="en-US" w:eastAsia="zh-CN" w:bidi="ar"/>
        </w:rPr>
        <w:t>成果与</w:t>
      </w:r>
      <w:r>
        <w:rPr>
          <w:rFonts w:hint="eastAsia" w:ascii="微软雅黑" w:hAnsi="微软雅黑" w:eastAsia="微软雅黑" w:cs="微软雅黑"/>
          <w:b/>
          <w:bCs/>
          <w:color w:val="auto"/>
          <w:lang w:bidi="ar"/>
        </w:rPr>
        <w:t>证书收获：</w:t>
      </w:r>
    </w:p>
    <w:p w14:paraId="53DE9875">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成果作品：每位学生或小组将完成一项人工智能或机器人主题的原型设计，展示其创意与技术应用能力。</w:t>
      </w:r>
    </w:p>
    <w:p w14:paraId="19066C51">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项目证书：完成项目后可获得香港生产力局和优必选科技公司联合颁发的项目证书</w:t>
      </w:r>
    </w:p>
    <w:p w14:paraId="71BEAA02">
      <w:pPr>
        <w:keepNext w:val="0"/>
        <w:keepLines w:val="0"/>
        <w:pageBreakBefore w:val="0"/>
        <w:widowControl/>
        <w:kinsoku/>
        <w:wordWrap/>
        <w:overflowPunct/>
        <w:topLinePunct w:val="0"/>
        <w:autoSpaceDE/>
        <w:autoSpaceDN/>
        <w:bidi w:val="0"/>
        <w:adjustRightInd/>
        <w:snapToGrid/>
        <w:ind w:firstLine="840" w:firstLine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10180" cy="1945005"/>
            <wp:effectExtent l="0" t="0" r="13970" b="17145"/>
            <wp:docPr id="9" name="图片 9" descr="c07f4901-2c33-4a1e-84c8-aecc2028a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07f4901-2c33-4a1e-84c8-aecc2028ab09"/>
                    <pic:cNvPicPr>
                      <a:picLocks noChangeAspect="1"/>
                    </pic:cNvPicPr>
                  </pic:nvPicPr>
                  <pic:blipFill>
                    <a:blip r:embed="rId8"/>
                    <a:srcRect l="1519" t="4035" b="1752"/>
                    <a:stretch>
                      <a:fillRect/>
                    </a:stretch>
                  </pic:blipFill>
                  <pic:spPr>
                    <a:xfrm>
                      <a:off x="0" y="0"/>
                      <a:ext cx="2710180" cy="1945005"/>
                    </a:xfrm>
                    <a:prstGeom prst="rect">
                      <a:avLst/>
                    </a:prstGeom>
                  </pic:spPr>
                </pic:pic>
              </a:graphicData>
            </a:graphic>
          </wp:inline>
        </w:drawing>
      </w:r>
      <w:r>
        <w:rPr>
          <w:rFonts w:hint="eastAsia" w:ascii="微软雅黑" w:hAnsi="微软雅黑" w:eastAsia="微软雅黑" w:cs="微软雅黑"/>
          <w:sz w:val="21"/>
          <w:szCs w:val="21"/>
          <w:lang w:val="en-US" w:eastAsia="zh-CN"/>
        </w:rPr>
        <w:t xml:space="preserve"> （过往项目证书示例）</w:t>
      </w:r>
    </w:p>
    <w:p w14:paraId="521DE77F">
      <w:pPr>
        <w:rPr>
          <w:rFonts w:hint="default"/>
          <w:lang w:val="en-US" w:eastAsia="zh-CN"/>
        </w:rPr>
      </w:pPr>
    </w:p>
    <w:p w14:paraId="7CE88193">
      <w:pPr>
        <w:spacing w:line="360" w:lineRule="auto"/>
        <w:rPr>
          <w:rFonts w:hint="default" w:ascii="微软雅黑" w:hAnsi="微软雅黑" w:eastAsia="微软雅黑" w:cs="微软雅黑"/>
          <w:b w:val="0"/>
          <w:bCs w:val="0"/>
          <w:color w:val="000000"/>
          <w:sz w:val="21"/>
          <w:szCs w:val="21"/>
          <w:highlight w:val="red"/>
          <w:lang w:val="en-US" w:eastAsia="zh-CN" w:bidi="ar"/>
        </w:rPr>
      </w:pPr>
      <w:r>
        <w:rPr>
          <w:rFonts w:hint="eastAsia" w:ascii="微软雅黑" w:hAnsi="微软雅黑" w:eastAsia="微软雅黑" w:cs="微软雅黑"/>
          <w:b/>
          <w:bCs/>
          <w:color w:val="auto"/>
          <w:lang w:bidi="ar"/>
        </w:rPr>
        <w:t>项目费用：</w:t>
      </w:r>
      <w:r>
        <w:rPr>
          <w:rFonts w:hint="eastAsia" w:ascii="微软雅黑" w:hAnsi="微软雅黑" w:eastAsia="微软雅黑" w:cs="微软雅黑"/>
          <w:b w:val="0"/>
          <w:bCs w:val="0"/>
          <w:color w:val="auto"/>
          <w:sz w:val="21"/>
          <w:szCs w:val="21"/>
          <w:lang w:val="en-US" w:eastAsia="zh-CN" w:bidi="ar"/>
        </w:rPr>
        <w:t>9,800元人民币/人</w:t>
      </w:r>
    </w:p>
    <w:p w14:paraId="3C52852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费用包含：</w:t>
      </w:r>
      <w:r>
        <w:rPr>
          <w:rFonts w:hint="eastAsia" w:ascii="微软雅黑" w:hAnsi="微软雅黑" w:eastAsia="微软雅黑" w:cs="微软雅黑"/>
          <w:color w:val="000000"/>
          <w:sz w:val="21"/>
          <w:szCs w:val="21"/>
          <w:lang w:val="en-US" w:eastAsia="zh-CN" w:bidi="ar"/>
        </w:rPr>
        <w:t>企业参访费、嘉宾讲座费用、项目期间住宿费</w:t>
      </w:r>
      <w:r>
        <w:rPr>
          <w:rFonts w:hint="eastAsia" w:ascii="微软雅黑" w:hAnsi="微软雅黑" w:eastAsia="微软雅黑" w:cs="微软雅黑"/>
          <w:color w:val="auto"/>
          <w:sz w:val="21"/>
          <w:szCs w:val="21"/>
          <w:lang w:val="en-US" w:eastAsia="zh-CN" w:bidi="ar"/>
        </w:rPr>
        <w:t>（酒店标间）</w:t>
      </w:r>
      <w:r>
        <w:rPr>
          <w:rFonts w:hint="eastAsia" w:ascii="微软雅黑" w:hAnsi="微软雅黑" w:eastAsia="微软雅黑" w:cs="微软雅黑"/>
          <w:color w:val="000000"/>
          <w:sz w:val="21"/>
          <w:szCs w:val="21"/>
          <w:lang w:val="en-US" w:eastAsia="zh-CN" w:bidi="ar"/>
        </w:rPr>
        <w:t>、统一行程内的交通费（每天行程结束后原地解散，不安排统一回酒店的大巴）、意外伤害保险、紧急医疗保险、场地、教材等费用。</w:t>
      </w:r>
    </w:p>
    <w:p w14:paraId="59F9F8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000000"/>
          <w:sz w:val="21"/>
          <w:szCs w:val="21"/>
          <w:lang w:val="en-US" w:eastAsia="zh-CN" w:bidi="ar"/>
        </w:rPr>
        <w:t>费用不含：</w:t>
      </w:r>
      <w:r>
        <w:rPr>
          <w:rFonts w:hint="eastAsia" w:ascii="微软雅黑" w:hAnsi="微软雅黑" w:eastAsia="微软雅黑" w:cs="微软雅黑"/>
          <w:color w:val="000000"/>
          <w:sz w:val="21"/>
          <w:szCs w:val="21"/>
          <w:lang w:val="en-US" w:eastAsia="zh-CN" w:bidi="ar"/>
        </w:rPr>
        <w:t>内地往返香港的交通费用、港澳通行证及签注办理费用、一日三餐费用、项目期间因个人需求产生的所有消费。</w:t>
      </w:r>
    </w:p>
    <w:p w14:paraId="5C6EA9BC">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spacing w:val="-2"/>
          <w:sz w:val="24"/>
          <w:szCs w:val="24"/>
          <w14:textOutline w14:w="4356" w14:cap="flat" w14:cmpd="sng">
            <w14:solidFill>
              <w14:srgbClr w14:val="000000"/>
            </w14:solidFill>
            <w14:prstDash w14:val="solid"/>
            <w14:miter w14:val="0"/>
          </w14:textOutline>
        </w:rPr>
      </w:pPr>
    </w:p>
    <w:p w14:paraId="212CF964">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b/>
          <w:bCs/>
          <w:color w:val="auto"/>
          <w:sz w:val="24"/>
          <w:szCs w:val="24"/>
          <w:lang w:val="en-US" w:eastAsia="zh-CN" w:bidi="ar"/>
        </w:rPr>
      </w:pPr>
      <w:r>
        <w:rPr>
          <w:rFonts w:hint="eastAsia" w:ascii="微软雅黑" w:hAnsi="微软雅黑" w:eastAsia="微软雅黑" w:cs="微软雅黑"/>
          <w:b/>
          <w:bCs/>
          <w:color w:val="auto"/>
          <w:sz w:val="24"/>
          <w:szCs w:val="24"/>
          <w:lang w:val="en-US" w:eastAsia="zh-CN" w:bidi="ar"/>
        </w:rPr>
        <w:t>报名要求：</w:t>
      </w:r>
    </w:p>
    <w:p w14:paraId="139A80D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rightChars="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拥护中国共产党领导、热爱祖国、政治立场坚定、品德优良、身心健康，具备在</w:t>
      </w:r>
      <w:r>
        <w:rPr>
          <w:rFonts w:hint="eastAsia" w:ascii="微软雅黑" w:hAnsi="微软雅黑" w:eastAsia="微软雅黑" w:cs="微软雅黑"/>
          <w:color w:val="000000"/>
          <w:kern w:val="0"/>
          <w:sz w:val="21"/>
          <w:szCs w:val="21"/>
          <w:lang w:val="en-US" w:eastAsia="zh-CN" w:bidi="ar"/>
        </w:rPr>
        <w:t>香港</w:t>
      </w:r>
      <w:r>
        <w:rPr>
          <w:rFonts w:hint="default" w:ascii="微软雅黑" w:hAnsi="微软雅黑" w:eastAsia="微软雅黑" w:cs="微软雅黑"/>
          <w:color w:val="000000"/>
          <w:kern w:val="0"/>
          <w:sz w:val="21"/>
          <w:szCs w:val="21"/>
          <w:lang w:val="en-US" w:eastAsia="en-US" w:bidi="ar"/>
        </w:rPr>
        <w:t>进行独立学习及生活能力的全日制在校</w:t>
      </w:r>
      <w:r>
        <w:rPr>
          <w:rFonts w:hint="eastAsia" w:ascii="微软雅黑" w:hAnsi="微软雅黑" w:eastAsia="微软雅黑" w:cs="微软雅黑"/>
          <w:color w:val="000000"/>
          <w:kern w:val="0"/>
          <w:sz w:val="21"/>
          <w:szCs w:val="21"/>
          <w:lang w:val="en-US" w:eastAsia="zh-CN" w:bidi="ar"/>
        </w:rPr>
        <w:t>学</w:t>
      </w:r>
      <w:r>
        <w:rPr>
          <w:rFonts w:hint="default" w:ascii="微软雅黑" w:hAnsi="微软雅黑" w:eastAsia="微软雅黑" w:cs="微软雅黑"/>
          <w:color w:val="000000"/>
          <w:kern w:val="0"/>
          <w:sz w:val="21"/>
          <w:szCs w:val="21"/>
          <w:lang w:val="en-US" w:eastAsia="en-US" w:bidi="ar"/>
        </w:rPr>
        <w:t>生，专业不限；</w:t>
      </w:r>
    </w:p>
    <w:p w14:paraId="6658C64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学习成绩优良，综合素质较高，无不良嗜好；</w:t>
      </w:r>
    </w:p>
    <w:p w14:paraId="31E20CC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具备相应的经济能力，能承担在</w:t>
      </w:r>
      <w:r>
        <w:rPr>
          <w:rFonts w:hint="eastAsia" w:ascii="微软雅黑" w:hAnsi="微软雅黑" w:eastAsia="微软雅黑" w:cs="微软雅黑"/>
          <w:color w:val="000000"/>
          <w:kern w:val="0"/>
          <w:sz w:val="21"/>
          <w:szCs w:val="21"/>
          <w:lang w:val="en-US" w:eastAsia="zh-CN" w:bidi="ar"/>
        </w:rPr>
        <w:t>香港</w:t>
      </w:r>
      <w:r>
        <w:rPr>
          <w:rFonts w:hint="default" w:ascii="微软雅黑" w:hAnsi="微软雅黑" w:eastAsia="微软雅黑" w:cs="微软雅黑"/>
          <w:color w:val="000000"/>
          <w:kern w:val="0"/>
          <w:sz w:val="21"/>
          <w:szCs w:val="21"/>
          <w:lang w:val="en-US" w:eastAsia="en-US" w:bidi="ar"/>
        </w:rPr>
        <w:t>学习、生活的相关费用；</w:t>
      </w:r>
    </w:p>
    <w:p w14:paraId="2231232C">
      <w:pPr>
        <w:keepNext w:val="0"/>
        <w:keepLines w:val="0"/>
        <w:pageBreakBefore w:val="0"/>
        <w:widowControl/>
        <w:numPr>
          <w:ilvl w:val="0"/>
          <w:numId w:val="1"/>
        </w:numPr>
        <w:suppressLineNumbers w:val="0"/>
        <w:wordWrap/>
        <w:overflowPunct/>
        <w:topLinePunct w:val="0"/>
        <w:bidi w:val="0"/>
        <w:spacing w:line="480" w:lineRule="exact"/>
        <w:ind w:left="0" w:leftChars="0" w:firstLine="420" w:firstLineChars="200"/>
        <w:jc w:val="left"/>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学生在项目期间需严格遵守当地法律法规和参访企业规章制度，自觉维护国家利益、民族尊严和学校荣誉。</w:t>
      </w:r>
    </w:p>
    <w:p w14:paraId="54C4D59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F58F9E6">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4D32724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lang w:val="en-US" w:eastAsia="zh-CN"/>
        </w:rPr>
      </w:pPr>
      <w:r>
        <w:rPr>
          <w:rFonts w:hint="eastAsia" w:ascii="微软雅黑" w:hAnsi="微软雅黑" w:eastAsia="微软雅黑" w:cs="微软雅黑"/>
          <w:b/>
          <w:bCs/>
          <w:color w:val="auto"/>
          <w:lang w:bidi="ar"/>
        </w:rPr>
        <w:t>行程</w:t>
      </w:r>
      <w:r>
        <w:rPr>
          <w:rFonts w:hint="eastAsia" w:ascii="微软雅黑" w:hAnsi="微软雅黑" w:eastAsia="微软雅黑" w:cs="微软雅黑"/>
          <w:b/>
          <w:bCs/>
          <w:color w:val="auto"/>
          <w:lang w:val="en-US" w:eastAsia="zh-CN" w:bidi="ar"/>
        </w:rPr>
        <w:t>示例：</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sz w:val="21"/>
          <w:szCs w:val="21"/>
        </w:rPr>
        <w:t>因受</w:t>
      </w:r>
      <w:r>
        <w:rPr>
          <w:rFonts w:hint="eastAsia" w:ascii="微软雅黑" w:hAnsi="微软雅黑" w:eastAsia="微软雅黑" w:cs="微软雅黑"/>
          <w:sz w:val="21"/>
          <w:szCs w:val="21"/>
          <w:lang w:val="en-US" w:eastAsia="zh-CN"/>
        </w:rPr>
        <w:t>企业生产任务</w:t>
      </w:r>
      <w:r>
        <w:rPr>
          <w:rFonts w:hint="eastAsia" w:ascii="微软雅黑" w:hAnsi="微软雅黑" w:eastAsia="微软雅黑" w:cs="微软雅黑"/>
          <w:sz w:val="21"/>
          <w:szCs w:val="21"/>
        </w:rPr>
        <w:t>、接待</w:t>
      </w:r>
      <w:r>
        <w:rPr>
          <w:rFonts w:hint="eastAsia" w:ascii="微软雅黑" w:hAnsi="微软雅黑" w:eastAsia="微软雅黑" w:cs="微软雅黑"/>
          <w:sz w:val="21"/>
          <w:szCs w:val="21"/>
          <w:lang w:val="en-US" w:eastAsia="zh-CN"/>
        </w:rPr>
        <w:t>安排</w:t>
      </w:r>
      <w:r>
        <w:rPr>
          <w:rFonts w:hint="eastAsia" w:ascii="微软雅黑" w:hAnsi="微软雅黑" w:eastAsia="微软雅黑" w:cs="微软雅黑"/>
          <w:sz w:val="21"/>
          <w:szCs w:val="21"/>
        </w:rPr>
        <w:t>等客观因素影响，部分参访企业和分享嘉宾可能会出现调整或变动，但不会减少参访企业的数量和降低参访企业的质量及分享嘉宾的资质</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bidi="ar"/>
        </w:rPr>
        <w:t>行程以最终版本为准）</w:t>
      </w:r>
    </w:p>
    <w:tbl>
      <w:tblPr>
        <w:tblStyle w:val="6"/>
        <w:tblW w:w="8608"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48"/>
        <w:gridCol w:w="1440"/>
        <w:gridCol w:w="1005"/>
        <w:gridCol w:w="5115"/>
      </w:tblGrid>
      <w:tr w14:paraId="61B97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9" w:hRule="atLeast"/>
        </w:trPr>
        <w:tc>
          <w:tcPr>
            <w:tcW w:w="8608" w:type="dxa"/>
            <w:gridSpan w:val="4"/>
            <w:tcBorders>
              <w:tl2br w:val="nil"/>
              <w:tr2bl w:val="nil"/>
            </w:tcBorders>
            <w:shd w:val="clear" w:color="auto" w:fill="auto"/>
            <w:vAlign w:val="center"/>
          </w:tcPr>
          <w:p w14:paraId="22C9CC8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2026年暑假卓越工程师创新创业实训项目（香港）行程示例（7天）</w:t>
            </w:r>
          </w:p>
        </w:tc>
      </w:tr>
      <w:tr w14:paraId="5FD2D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9" w:hRule="atLeast"/>
        </w:trPr>
        <w:tc>
          <w:tcPr>
            <w:tcW w:w="1048" w:type="dxa"/>
            <w:tcBorders>
              <w:tl2br w:val="nil"/>
              <w:tr2bl w:val="nil"/>
            </w:tcBorders>
            <w:shd w:val="clear" w:color="auto" w:fill="auto"/>
            <w:vAlign w:val="center"/>
          </w:tcPr>
          <w:p w14:paraId="0EE1184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日期</w:t>
            </w:r>
          </w:p>
        </w:tc>
        <w:tc>
          <w:tcPr>
            <w:tcW w:w="1440" w:type="dxa"/>
            <w:tcBorders>
              <w:tl2br w:val="nil"/>
              <w:tr2bl w:val="nil"/>
            </w:tcBorders>
            <w:shd w:val="clear" w:color="auto" w:fill="auto"/>
            <w:vAlign w:val="center"/>
          </w:tcPr>
          <w:p w14:paraId="6C6015B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项目名称</w:t>
            </w:r>
          </w:p>
        </w:tc>
        <w:tc>
          <w:tcPr>
            <w:tcW w:w="1005" w:type="dxa"/>
            <w:tcBorders>
              <w:tl2br w:val="nil"/>
              <w:tr2bl w:val="nil"/>
            </w:tcBorders>
            <w:shd w:val="clear" w:color="auto" w:fill="auto"/>
            <w:vAlign w:val="center"/>
          </w:tcPr>
          <w:p w14:paraId="25FF4C8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时段</w:t>
            </w:r>
          </w:p>
        </w:tc>
        <w:tc>
          <w:tcPr>
            <w:tcW w:w="5115" w:type="dxa"/>
            <w:tcBorders>
              <w:tl2br w:val="nil"/>
              <w:tr2bl w:val="nil"/>
            </w:tcBorders>
            <w:shd w:val="clear" w:color="auto" w:fill="auto"/>
            <w:vAlign w:val="center"/>
          </w:tcPr>
          <w:p w14:paraId="5107E33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活动内容</w:t>
            </w:r>
          </w:p>
        </w:tc>
      </w:tr>
      <w:tr w14:paraId="6A706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48" w:type="dxa"/>
            <w:tcBorders>
              <w:tl2br w:val="nil"/>
              <w:tr2bl w:val="nil"/>
            </w:tcBorders>
            <w:shd w:val="clear" w:color="auto" w:fill="auto"/>
            <w:vAlign w:val="center"/>
          </w:tcPr>
          <w:p w14:paraId="1D88228A">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第一天</w:t>
            </w:r>
          </w:p>
        </w:tc>
        <w:tc>
          <w:tcPr>
            <w:tcW w:w="7560" w:type="dxa"/>
            <w:gridSpan w:val="3"/>
            <w:tcBorders>
              <w:tl2br w:val="nil"/>
              <w:tr2bl w:val="nil"/>
            </w:tcBorders>
            <w:shd w:val="clear" w:color="auto" w:fill="auto"/>
            <w:vAlign w:val="center"/>
          </w:tcPr>
          <w:p w14:paraId="40B4E50D">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抵达香港，安排入住</w:t>
            </w:r>
          </w:p>
        </w:tc>
      </w:tr>
      <w:tr w14:paraId="10CA0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7" w:hRule="atLeast"/>
        </w:trPr>
        <w:tc>
          <w:tcPr>
            <w:tcW w:w="1048" w:type="dxa"/>
            <w:vMerge w:val="restart"/>
            <w:tcBorders>
              <w:tl2br w:val="nil"/>
              <w:tr2bl w:val="nil"/>
            </w:tcBorders>
            <w:shd w:val="clear" w:color="auto" w:fill="auto"/>
            <w:vAlign w:val="center"/>
          </w:tcPr>
          <w:p w14:paraId="7263A77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第二天</w:t>
            </w:r>
          </w:p>
        </w:tc>
        <w:tc>
          <w:tcPr>
            <w:tcW w:w="1440" w:type="dxa"/>
            <w:vMerge w:val="restart"/>
            <w:tcBorders>
              <w:tl2br w:val="nil"/>
              <w:tr2bl w:val="nil"/>
            </w:tcBorders>
            <w:shd w:val="clear" w:color="auto" w:fill="auto"/>
            <w:vAlign w:val="center"/>
          </w:tcPr>
          <w:p w14:paraId="0FB0FD4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工程师</w:t>
            </w:r>
            <w:r>
              <w:rPr>
                <w:rFonts w:hint="eastAsia" w:ascii="微软雅黑" w:hAnsi="微软雅黑" w:eastAsia="微软雅黑" w:cs="微软雅黑"/>
                <w:i w:val="0"/>
                <w:iCs w:val="0"/>
                <w:color w:val="000000"/>
                <w:kern w:val="0"/>
                <w:sz w:val="20"/>
                <w:szCs w:val="20"/>
                <w:u w:val="none"/>
                <w:lang w:val="en-US" w:eastAsia="zh-CN" w:bidi="ar"/>
              </w:rPr>
              <w:t>UGOT学习实践</w:t>
            </w:r>
          </w:p>
        </w:tc>
        <w:tc>
          <w:tcPr>
            <w:tcW w:w="1005" w:type="dxa"/>
            <w:tcBorders>
              <w:tl2br w:val="nil"/>
              <w:tr2bl w:val="nil"/>
            </w:tcBorders>
            <w:shd w:val="clear" w:color="auto" w:fill="auto"/>
            <w:vAlign w:val="center"/>
          </w:tcPr>
          <w:p w14:paraId="16C2042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5115" w:type="dxa"/>
            <w:tcBorders>
              <w:tl2br w:val="nil"/>
              <w:tr2bl w:val="nil"/>
            </w:tcBorders>
            <w:shd w:val="clear" w:color="auto" w:fill="auto"/>
            <w:vAlign w:val="center"/>
          </w:tcPr>
          <w:p w14:paraId="390E51F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参访：优必选展厅参访</w:t>
            </w:r>
          </w:p>
          <w:p w14:paraId="16A2A9AC">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课程主题一：认识AI及机械人概念和应用范畴</w:t>
            </w:r>
          </w:p>
          <w:p w14:paraId="3C25A1F5">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实践主题一：认识UGOT及简单操作</w:t>
            </w:r>
          </w:p>
          <w:p w14:paraId="6856B92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实践主题二：工程师UGOT组装学习</w:t>
            </w:r>
          </w:p>
        </w:tc>
      </w:tr>
      <w:tr w14:paraId="63946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trPr>
        <w:tc>
          <w:tcPr>
            <w:tcW w:w="1048" w:type="dxa"/>
            <w:vMerge w:val="continue"/>
            <w:tcBorders>
              <w:tl2br w:val="nil"/>
              <w:tr2bl w:val="nil"/>
            </w:tcBorders>
            <w:shd w:val="clear" w:color="auto" w:fill="auto"/>
            <w:vAlign w:val="center"/>
          </w:tcPr>
          <w:p w14:paraId="75565A71">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440" w:type="dxa"/>
            <w:vMerge w:val="continue"/>
            <w:tcBorders>
              <w:tl2br w:val="nil"/>
              <w:tr2bl w:val="nil"/>
            </w:tcBorders>
            <w:shd w:val="clear" w:color="auto" w:fill="auto"/>
            <w:vAlign w:val="center"/>
          </w:tcPr>
          <w:p w14:paraId="6A60F707">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005" w:type="dxa"/>
            <w:tcBorders>
              <w:tl2br w:val="nil"/>
              <w:tr2bl w:val="nil"/>
            </w:tcBorders>
            <w:shd w:val="clear" w:color="auto" w:fill="auto"/>
            <w:vAlign w:val="center"/>
          </w:tcPr>
          <w:p w14:paraId="042AE4A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5115" w:type="dxa"/>
            <w:tcBorders>
              <w:tl2br w:val="nil"/>
              <w:tr2bl w:val="nil"/>
            </w:tcBorders>
            <w:shd w:val="clear" w:color="auto" w:fill="auto"/>
            <w:vAlign w:val="center"/>
          </w:tcPr>
          <w:p w14:paraId="0562339C">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实践主题三：</w:t>
            </w:r>
            <w:r>
              <w:rPr>
                <w:rFonts w:hint="eastAsia" w:ascii="微软雅黑" w:hAnsi="微软雅黑" w:eastAsia="微软雅黑" w:cs="微软雅黑"/>
                <w:i w:val="0"/>
                <w:iCs w:val="0"/>
                <w:color w:val="000000"/>
                <w:sz w:val="20"/>
                <w:szCs w:val="20"/>
                <w:u w:val="none"/>
              </w:rPr>
              <w:t>Al工程车灵活移动编程任务学习</w:t>
            </w:r>
          </w:p>
          <w:p w14:paraId="5A80613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实践主题四：灵巧工程臂编程任务学习</w:t>
            </w:r>
          </w:p>
          <w:p w14:paraId="4AE34C89">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实践主题五：UGOT搬运工程车任务赛事体验</w:t>
            </w:r>
          </w:p>
        </w:tc>
      </w:tr>
      <w:tr w14:paraId="7979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00" w:hRule="atLeast"/>
        </w:trPr>
        <w:tc>
          <w:tcPr>
            <w:tcW w:w="1048" w:type="dxa"/>
            <w:vMerge w:val="restart"/>
            <w:tcBorders>
              <w:tl2br w:val="nil"/>
              <w:tr2bl w:val="nil"/>
            </w:tcBorders>
            <w:shd w:val="clear" w:color="auto" w:fill="auto"/>
            <w:vAlign w:val="center"/>
          </w:tcPr>
          <w:p w14:paraId="2D25064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第三天</w:t>
            </w:r>
          </w:p>
        </w:tc>
        <w:tc>
          <w:tcPr>
            <w:tcW w:w="1440" w:type="dxa"/>
            <w:vMerge w:val="restart"/>
            <w:tcBorders>
              <w:tl2br w:val="nil"/>
              <w:tr2bl w:val="nil"/>
            </w:tcBorders>
            <w:shd w:val="clear" w:color="auto" w:fill="auto"/>
            <w:vAlign w:val="center"/>
          </w:tcPr>
          <w:p w14:paraId="440CA28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机器人设计与编程</w:t>
            </w:r>
          </w:p>
        </w:tc>
        <w:tc>
          <w:tcPr>
            <w:tcW w:w="1005" w:type="dxa"/>
            <w:tcBorders>
              <w:tl2br w:val="nil"/>
              <w:tr2bl w:val="nil"/>
            </w:tcBorders>
            <w:shd w:val="clear" w:color="auto" w:fill="auto"/>
            <w:vAlign w:val="center"/>
          </w:tcPr>
          <w:p w14:paraId="35CC89C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5115" w:type="dxa"/>
            <w:tcBorders>
              <w:tl2br w:val="nil"/>
              <w:tr2bl w:val="nil"/>
            </w:tcBorders>
            <w:shd w:val="clear" w:color="auto" w:fill="auto"/>
            <w:vAlign w:val="center"/>
          </w:tcPr>
          <w:p w14:paraId="458674A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实践主题六：</w:t>
            </w:r>
            <w:r>
              <w:rPr>
                <w:rFonts w:hint="eastAsia" w:ascii="微软雅黑" w:hAnsi="微软雅黑" w:eastAsia="微软雅黑" w:cs="微软雅黑"/>
                <w:i w:val="0"/>
                <w:iCs w:val="0"/>
                <w:color w:val="000000"/>
                <w:sz w:val="20"/>
                <w:szCs w:val="20"/>
                <w:u w:val="none"/>
              </w:rPr>
              <w:t>Yanshee机械人应用程式安装及热身体验</w:t>
            </w:r>
          </w:p>
          <w:p w14:paraId="539D85E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实践主题七：Yanshee舞蹈机械人</w:t>
            </w:r>
          </w:p>
          <w:p w14:paraId="41227995">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实践主题八：人脸追踪操控模式Yanshee机械人</w:t>
            </w:r>
          </w:p>
        </w:tc>
      </w:tr>
      <w:tr w14:paraId="080D3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048" w:type="dxa"/>
            <w:vMerge w:val="continue"/>
            <w:tcBorders>
              <w:tl2br w:val="nil"/>
              <w:tr2bl w:val="nil"/>
            </w:tcBorders>
            <w:shd w:val="clear" w:color="auto" w:fill="auto"/>
            <w:vAlign w:val="center"/>
          </w:tcPr>
          <w:p w14:paraId="404D2173">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440" w:type="dxa"/>
            <w:vMerge w:val="continue"/>
            <w:tcBorders>
              <w:tl2br w:val="nil"/>
              <w:tr2bl w:val="nil"/>
            </w:tcBorders>
            <w:shd w:val="clear" w:color="auto" w:fill="auto"/>
            <w:vAlign w:val="center"/>
          </w:tcPr>
          <w:p w14:paraId="276F2618">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005" w:type="dxa"/>
            <w:tcBorders>
              <w:tl2br w:val="nil"/>
              <w:tr2bl w:val="nil"/>
            </w:tcBorders>
            <w:shd w:val="clear" w:color="auto" w:fill="auto"/>
            <w:vAlign w:val="center"/>
          </w:tcPr>
          <w:p w14:paraId="2A9C337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5115" w:type="dxa"/>
            <w:tcBorders>
              <w:tl2br w:val="nil"/>
              <w:tr2bl w:val="nil"/>
            </w:tcBorders>
            <w:shd w:val="clear" w:color="auto" w:fill="auto"/>
            <w:vAlign w:val="center"/>
          </w:tcPr>
          <w:p w14:paraId="49C24139">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实践主题九：灵活移动Yanshee机械人</w:t>
            </w:r>
          </w:p>
          <w:p w14:paraId="275C029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实践主题十：Yanshee AI机器学习</w:t>
            </w:r>
          </w:p>
        </w:tc>
      </w:tr>
      <w:tr w14:paraId="700D2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1048" w:type="dxa"/>
            <w:vMerge w:val="restart"/>
            <w:tcBorders>
              <w:tl2br w:val="nil"/>
              <w:tr2bl w:val="nil"/>
            </w:tcBorders>
            <w:shd w:val="clear" w:color="auto" w:fill="auto"/>
            <w:vAlign w:val="center"/>
          </w:tcPr>
          <w:p w14:paraId="45A4B28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第四天</w:t>
            </w:r>
          </w:p>
        </w:tc>
        <w:tc>
          <w:tcPr>
            <w:tcW w:w="1440" w:type="dxa"/>
            <w:vMerge w:val="restart"/>
            <w:tcBorders>
              <w:tl2br w:val="nil"/>
              <w:tr2bl w:val="nil"/>
            </w:tcBorders>
            <w:shd w:val="clear" w:color="auto" w:fill="auto"/>
            <w:vAlign w:val="center"/>
          </w:tcPr>
          <w:p w14:paraId="0143B45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AI工具学习实践</w:t>
            </w:r>
          </w:p>
        </w:tc>
        <w:tc>
          <w:tcPr>
            <w:tcW w:w="1005" w:type="dxa"/>
            <w:tcBorders>
              <w:tl2br w:val="nil"/>
              <w:tr2bl w:val="nil"/>
            </w:tcBorders>
            <w:shd w:val="clear" w:color="auto" w:fill="auto"/>
            <w:vAlign w:val="center"/>
          </w:tcPr>
          <w:p w14:paraId="1ABE62C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5115" w:type="dxa"/>
            <w:tcBorders>
              <w:tl2br w:val="nil"/>
              <w:tr2bl w:val="nil"/>
            </w:tcBorders>
            <w:shd w:val="clear" w:color="auto" w:fill="auto"/>
            <w:vAlign w:val="center"/>
          </w:tcPr>
          <w:p w14:paraId="54CB969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实践主题十一：UGOT Yanshee机械人协作训练</w:t>
            </w:r>
          </w:p>
        </w:tc>
      </w:tr>
      <w:tr w14:paraId="696C8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atLeast"/>
        </w:trPr>
        <w:tc>
          <w:tcPr>
            <w:tcW w:w="1048" w:type="dxa"/>
            <w:vMerge w:val="continue"/>
            <w:tcBorders>
              <w:tl2br w:val="nil"/>
              <w:tr2bl w:val="nil"/>
            </w:tcBorders>
            <w:shd w:val="clear" w:color="auto" w:fill="auto"/>
            <w:vAlign w:val="center"/>
          </w:tcPr>
          <w:p w14:paraId="6D462F2F">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440" w:type="dxa"/>
            <w:vMerge w:val="continue"/>
            <w:tcBorders>
              <w:tl2br w:val="nil"/>
              <w:tr2bl w:val="nil"/>
            </w:tcBorders>
            <w:shd w:val="clear" w:color="auto" w:fill="auto"/>
            <w:vAlign w:val="center"/>
          </w:tcPr>
          <w:p w14:paraId="60CA6C85">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005" w:type="dxa"/>
            <w:tcBorders>
              <w:tl2br w:val="nil"/>
              <w:tr2bl w:val="nil"/>
            </w:tcBorders>
            <w:shd w:val="clear" w:color="auto" w:fill="auto"/>
            <w:vAlign w:val="center"/>
          </w:tcPr>
          <w:p w14:paraId="04E9509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5115" w:type="dxa"/>
            <w:tcBorders>
              <w:tl2br w:val="nil"/>
              <w:tr2bl w:val="nil"/>
            </w:tcBorders>
            <w:shd w:val="clear" w:color="auto" w:fill="auto"/>
            <w:vAlign w:val="center"/>
          </w:tcPr>
          <w:p w14:paraId="1650B028">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实践主题十二：AI应用程式及实用工具教学</w:t>
            </w:r>
          </w:p>
        </w:tc>
      </w:tr>
      <w:tr w14:paraId="40E33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0" w:hRule="atLeast"/>
        </w:trPr>
        <w:tc>
          <w:tcPr>
            <w:tcW w:w="1048" w:type="dxa"/>
            <w:vMerge w:val="restart"/>
            <w:tcBorders>
              <w:tl2br w:val="nil"/>
              <w:tr2bl w:val="nil"/>
            </w:tcBorders>
            <w:shd w:val="clear" w:color="auto" w:fill="auto"/>
            <w:vAlign w:val="center"/>
          </w:tcPr>
          <w:p w14:paraId="65A7F7C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第五天</w:t>
            </w:r>
          </w:p>
        </w:tc>
        <w:tc>
          <w:tcPr>
            <w:tcW w:w="1440" w:type="dxa"/>
            <w:vMerge w:val="restart"/>
            <w:tcBorders>
              <w:tl2br w:val="nil"/>
              <w:tr2bl w:val="nil"/>
            </w:tcBorders>
            <w:shd w:val="clear" w:color="auto" w:fill="auto"/>
            <w:vAlign w:val="center"/>
          </w:tcPr>
          <w:p w14:paraId="72FD5F4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团队挑战与创新展示</w:t>
            </w:r>
          </w:p>
        </w:tc>
        <w:tc>
          <w:tcPr>
            <w:tcW w:w="1005" w:type="dxa"/>
            <w:tcBorders>
              <w:tl2br w:val="nil"/>
              <w:tr2bl w:val="nil"/>
            </w:tcBorders>
            <w:shd w:val="clear" w:color="auto" w:fill="auto"/>
            <w:vAlign w:val="center"/>
          </w:tcPr>
          <w:p w14:paraId="6D842BE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5115" w:type="dxa"/>
            <w:tcBorders>
              <w:tl2br w:val="nil"/>
              <w:tr2bl w:val="nil"/>
            </w:tcBorders>
            <w:shd w:val="clear" w:color="auto" w:fill="auto"/>
            <w:vAlign w:val="center"/>
          </w:tcPr>
          <w:p w14:paraId="3BB32F8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课程主题二：资讯素养分享环节及案例分析</w:t>
            </w:r>
          </w:p>
          <w:p w14:paraId="65D9F61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课程主题三：设计思维五步曲</w:t>
            </w:r>
          </w:p>
        </w:tc>
      </w:tr>
      <w:tr w14:paraId="11DD9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048" w:type="dxa"/>
            <w:vMerge w:val="continue"/>
            <w:tcBorders>
              <w:tl2br w:val="nil"/>
              <w:tr2bl w:val="nil"/>
            </w:tcBorders>
            <w:shd w:val="clear" w:color="auto" w:fill="auto"/>
            <w:vAlign w:val="center"/>
          </w:tcPr>
          <w:p w14:paraId="2E25B70D">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440" w:type="dxa"/>
            <w:vMerge w:val="continue"/>
            <w:tcBorders>
              <w:tl2br w:val="nil"/>
              <w:tr2bl w:val="nil"/>
            </w:tcBorders>
            <w:shd w:val="clear" w:color="auto" w:fill="auto"/>
            <w:vAlign w:val="center"/>
          </w:tcPr>
          <w:p w14:paraId="293C196C">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005" w:type="dxa"/>
            <w:tcBorders>
              <w:tl2br w:val="nil"/>
              <w:tr2bl w:val="nil"/>
            </w:tcBorders>
            <w:shd w:val="clear" w:color="auto" w:fill="auto"/>
            <w:vAlign w:val="center"/>
          </w:tcPr>
          <w:p w14:paraId="2361D85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5115" w:type="dxa"/>
            <w:tcBorders>
              <w:tl2br w:val="nil"/>
              <w:tr2bl w:val="nil"/>
            </w:tcBorders>
            <w:shd w:val="clear" w:color="auto" w:fill="auto"/>
            <w:vAlign w:val="center"/>
          </w:tcPr>
          <w:p w14:paraId="0EE086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团队设计：产品创新开发</w:t>
            </w:r>
          </w:p>
          <w:p w14:paraId="5BB0AF7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结营安排：小组汇报，导师点评，颁发证书</w:t>
            </w:r>
          </w:p>
        </w:tc>
      </w:tr>
      <w:tr w14:paraId="4B54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5" w:hRule="atLeast"/>
        </w:trPr>
        <w:tc>
          <w:tcPr>
            <w:tcW w:w="1048" w:type="dxa"/>
            <w:tcBorders>
              <w:tl2br w:val="nil"/>
              <w:tr2bl w:val="nil"/>
            </w:tcBorders>
            <w:shd w:val="clear" w:color="auto" w:fill="auto"/>
            <w:vAlign w:val="center"/>
          </w:tcPr>
          <w:p w14:paraId="0ADFEF1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第六天</w:t>
            </w:r>
          </w:p>
        </w:tc>
        <w:tc>
          <w:tcPr>
            <w:tcW w:w="7560" w:type="dxa"/>
            <w:gridSpan w:val="3"/>
            <w:tcBorders>
              <w:tl2br w:val="nil"/>
              <w:tr2bl w:val="nil"/>
            </w:tcBorders>
            <w:shd w:val="clear" w:color="auto" w:fill="auto"/>
            <w:vAlign w:val="center"/>
          </w:tcPr>
          <w:p w14:paraId="59381F8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香港城市文化体验（自由活动）</w:t>
            </w:r>
          </w:p>
        </w:tc>
      </w:tr>
      <w:tr w14:paraId="785A4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1048" w:type="dxa"/>
            <w:tcBorders>
              <w:tl2br w:val="nil"/>
              <w:tr2bl w:val="nil"/>
            </w:tcBorders>
            <w:shd w:val="clear" w:color="auto" w:fill="auto"/>
            <w:vAlign w:val="center"/>
          </w:tcPr>
          <w:p w14:paraId="6CFA9B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第七天</w:t>
            </w:r>
          </w:p>
        </w:tc>
        <w:tc>
          <w:tcPr>
            <w:tcW w:w="7560" w:type="dxa"/>
            <w:gridSpan w:val="3"/>
            <w:tcBorders>
              <w:tl2br w:val="nil"/>
              <w:tr2bl w:val="nil"/>
            </w:tcBorders>
            <w:shd w:val="clear" w:color="auto" w:fill="auto"/>
            <w:vAlign w:val="center"/>
          </w:tcPr>
          <w:p w14:paraId="4F493B1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返回内地</w:t>
            </w:r>
          </w:p>
        </w:tc>
      </w:tr>
    </w:tbl>
    <w:p w14:paraId="352E6806">
      <w:pPr>
        <w:spacing w:line="360" w:lineRule="auto"/>
        <w:rPr>
          <w:rFonts w:hint="eastAsia" w:ascii="微软雅黑" w:hAnsi="微软雅黑" w:eastAsia="微软雅黑" w:cs="微软雅黑"/>
          <w:b/>
          <w:bCs/>
          <w:color w:val="auto"/>
          <w:highlight w:val="none"/>
          <w:lang w:bidi="ar"/>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3387090</wp:posOffset>
            </wp:positionH>
            <wp:positionV relativeFrom="paragraph">
              <wp:posOffset>373380</wp:posOffset>
            </wp:positionV>
            <wp:extent cx="2306320" cy="1911350"/>
            <wp:effectExtent l="0" t="0" r="0"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lum bright="6000"/>
                    </a:blip>
                    <a:srcRect l="19163" b="-400"/>
                    <a:stretch>
                      <a:fillRect/>
                    </a:stretch>
                  </pic:blipFill>
                  <pic:spPr>
                    <a:xfrm>
                      <a:off x="0" y="0"/>
                      <a:ext cx="2306320" cy="1911350"/>
                    </a:xfrm>
                    <a:prstGeom prst="rect">
                      <a:avLst/>
                    </a:prstGeom>
                    <a:noFill/>
                    <a:ln w="9525">
                      <a:noFill/>
                    </a:ln>
                  </pic:spPr>
                </pic:pic>
              </a:graphicData>
            </a:graphic>
          </wp:anchor>
        </w:drawing>
      </w:r>
      <w:r>
        <w:rPr>
          <w:rFonts w:hint="eastAsia" w:ascii="微软雅黑" w:hAnsi="微软雅黑" w:eastAsia="微软雅黑" w:cs="微软雅黑"/>
          <w:b/>
          <w:bCs/>
          <w:color w:val="auto"/>
          <w:highlight w:val="none"/>
          <w:lang w:val="en-US" w:eastAsia="zh-CN" w:bidi="ar"/>
        </w:rPr>
        <w:t>政企</w:t>
      </w:r>
      <w:r>
        <w:rPr>
          <w:rFonts w:hint="eastAsia" w:ascii="微软雅黑" w:hAnsi="微软雅黑" w:eastAsia="微软雅黑" w:cs="微软雅黑"/>
          <w:b/>
          <w:bCs/>
          <w:color w:val="auto"/>
          <w:highlight w:val="none"/>
          <w:lang w:bidi="ar"/>
        </w:rPr>
        <w:t>参访：</w:t>
      </w:r>
    </w:p>
    <w:p w14:paraId="6071667C">
      <w:pPr>
        <w:spacing w:line="360" w:lineRule="auto"/>
        <w:rPr>
          <w:rFonts w:hint="default" w:ascii="微软雅黑" w:hAnsi="微软雅黑" w:eastAsia="微软雅黑" w:cs="微软雅黑"/>
          <w:b/>
          <w:bCs/>
          <w:color w:val="auto"/>
          <w:highlight w:val="none"/>
          <w:lang w:val="en-US" w:eastAsia="zh-CN" w:bidi="ar"/>
        </w:rPr>
      </w:pPr>
      <w:r>
        <w:rPr>
          <w:rFonts w:hint="eastAsia" w:ascii="微软雅黑" w:hAnsi="微软雅黑" w:eastAsia="微软雅黑" w:cs="微软雅黑"/>
          <w:b/>
          <w:bCs/>
          <w:color w:val="auto"/>
          <w:highlight w:val="none"/>
          <w:lang w:val="en-US" w:eastAsia="zh-CN" w:bidi="ar"/>
        </w:rPr>
        <w:t>优必选科技公司（UBTECH）</w:t>
      </w:r>
    </w:p>
    <w:p w14:paraId="0AB0750F">
      <w:pPr>
        <w:spacing w:line="360" w:lineRule="auto"/>
        <w:ind w:firstLine="420" w:firstLineChars="20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优必选科技公司成立于2012年3月，是人形机器人的领导者和智能服务机器人的领航企业。优必选拥有行业领先的机器人技术(机器人运动规划和控制技术、伺服驱动器)、人工智能技术(计算机视觉和语音交互)、机器人与人工智能融合技术(SLAM 及自主技术、视觉伺服操作和人机交互)，以及机器人操作系统应用框架(ROSA)。截至2022年12月31日，公司全栈式技术申请专利超过3100项，拥有授权专利超过1600项，其中发明专利占比近50%。秉承着“让智能机器人走进千家万户，让人类的生活方式变得更加便捷化、智能化、人性化”的使命，优必选科技布局了人形机器人全栈式技术，并在此基础上开展智能服务机器人解决方案的研发、设计、智能生产和商业化应用。</w:t>
      </w:r>
    </w:p>
    <w:p w14:paraId="4CD31AE8">
      <w:pPr>
        <w:spacing w:line="360" w:lineRule="auto"/>
        <w:rPr>
          <w:rFonts w:hint="default" w:ascii="微软雅黑" w:hAnsi="微软雅黑" w:eastAsia="微软雅黑" w:cs="微软雅黑"/>
          <w:b/>
          <w:bCs/>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bidi="ar"/>
          <w14:textFill>
            <w14:solidFill>
              <w14:schemeClr w14:val="tx1"/>
            </w14:solidFill>
          </w14:textFill>
        </w:rPr>
        <w:t>主要发展成就</w:t>
      </w:r>
    </w:p>
    <w:p w14:paraId="12586462">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2025年——实现全球首例多台、多场景、多任务的人形机器人协同实训；三台Walker S2机器人代表粤港澳三地亮相“十五运会”开幕式，奏响千年青铜句鑃</w:t>
      </w:r>
    </w:p>
    <w:p w14:paraId="32550115">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2024年——Walker S系列工业人形机器人进入多家车厂实训；入选“2024年《财富》中国科技50强”</w:t>
      </w:r>
    </w:p>
    <w:p w14:paraId="70394506">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2023年——入选《AnalyticsInsight》“大崛起人形机器人先锋公司”，并于2023年12月29日在香港交易所主板挂牌上市</w:t>
      </w:r>
    </w:p>
    <w:p w14:paraId="0A885E58">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2022年——悟空机器人亮相，“全自动服务机器人关键技术及应用”项目获广东省科技进步一等奖</w:t>
      </w:r>
    </w:p>
    <w:p w14:paraId="1517C092">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2021年——机器人设计中心获选第五批中国工业设计中心，发布Walker X，入选2022全球更受瞩目的十大机器人公司</w:t>
      </w:r>
    </w:p>
    <w:p w14:paraId="038E5A62">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2020年——服务机器人项目被工业信息化部评为“新一代AI创新重点任务揭榜单位”</w:t>
      </w:r>
    </w:p>
    <w:p w14:paraId="7A86D234">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2019年——2代Walker机器人发布，被评为“2019卓越AI引领者奖TOP30”项目</w:t>
      </w:r>
    </w:p>
    <w:p w14:paraId="6D235A8A">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2018年——第一代人形机器人Walker，伺服驱动器产量达百万台，入选互联网+、人工智能重大工程</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br w:type="textWrapp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2017年——入选“AI100”榜单，新产品获CES创新奖，Alpha1X获纽约设计奖</w:t>
      </w:r>
    </w:p>
    <w:p w14:paraId="0F9BB4A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2016年——540台Alpha机器人参演了央视春晚</w:t>
      </w:r>
    </w:p>
    <w:p w14:paraId="4C7659B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2015年——承办第十七届全国机器人锦标赛、第六届国际仿人机器人奥赛</w:t>
      </w:r>
    </w:p>
    <w:p w14:paraId="308B027E">
      <w:pPr>
        <w:spacing w:line="360" w:lineRule="auto"/>
        <w:ind w:firstLine="420" w:firstLineChars="20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2014年——成功研发首款小型机器人Alpha</w:t>
      </w:r>
    </w:p>
    <w:p w14:paraId="7FF77B8B">
      <w:pPr>
        <w:spacing w:line="360" w:lineRule="auto"/>
        <w:rPr>
          <w:rFonts w:hint="eastAsia" w:ascii="微软雅黑" w:hAnsi="微软雅黑" w:eastAsia="微软雅黑" w:cs="微软雅黑"/>
          <w:b/>
          <w:bCs/>
          <w:color w:val="auto"/>
          <w:lang w:val="en-US" w:eastAsia="zh-CN" w:bidi="ar"/>
        </w:rPr>
      </w:pPr>
    </w:p>
    <w:p w14:paraId="354C5345">
      <w:pPr>
        <w:spacing w:line="360" w:lineRule="auto"/>
        <w:rPr>
          <w:rFonts w:hint="eastAsia" w:ascii="微软雅黑" w:hAnsi="微软雅黑" w:eastAsia="微软雅黑" w:cs="微软雅黑"/>
          <w:b/>
          <w:bCs/>
          <w:color w:val="auto"/>
          <w:lang w:val="en-US" w:eastAsia="zh-CN" w:bidi="ar"/>
        </w:rPr>
      </w:pPr>
    </w:p>
    <w:p w14:paraId="005FEDA1">
      <w:pPr>
        <w:spacing w:line="360" w:lineRule="auto"/>
        <w:rPr>
          <w:rFonts w:hint="default"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香港生产力促进局</w:t>
      </w:r>
    </w:p>
    <w:p w14:paraId="441883E3">
      <w:pPr>
        <w:spacing w:line="360" w:lineRule="auto"/>
        <w:ind w:firstLine="420" w:firstLineChars="200"/>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-3175</wp:posOffset>
            </wp:positionH>
            <wp:positionV relativeFrom="paragraph">
              <wp:posOffset>94615</wp:posOffset>
            </wp:positionV>
            <wp:extent cx="2405380" cy="1805305"/>
            <wp:effectExtent l="0" t="0" r="13970" b="4445"/>
            <wp:wrapSquare wrapText="bothSides"/>
            <wp:docPr id="47" name="图片 47" descr="ee1e123608806fa5f6317318c685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e1e123608806fa5f6317318c6851123"/>
                    <pic:cNvPicPr>
                      <a:picLocks noChangeAspect="1"/>
                    </pic:cNvPicPr>
                  </pic:nvPicPr>
                  <pic:blipFill>
                    <a:blip r:embed="rId10">
                      <a:lum bright="6000" contrast="6000"/>
                    </a:blip>
                    <a:stretch>
                      <a:fillRect/>
                    </a:stretch>
                  </pic:blipFill>
                  <pic:spPr>
                    <a:xfrm>
                      <a:off x="0" y="0"/>
                      <a:ext cx="2405380" cy="1805305"/>
                    </a:xfrm>
                    <a:prstGeom prst="rect">
                      <a:avLst/>
                    </a:prstGeom>
                  </pic:spPr>
                </pic:pic>
              </a:graphicData>
            </a:graphic>
          </wp:anchor>
        </w:drawing>
      </w: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香港生产力促进局</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，简称生产力局，</w:t>
      </w: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是香港的工商业支援机构，于1967年依据第1116章《香港生产力促进局条例》成立，是香港的法定机构。生产力局致力以世界级的先进技术和创新服务，驱动香港企业提升卓越生产力。生产力局作为工业4.0和企业4.0促进者，致力加速香港新型工业化发展，全面促进香港成为国际创新科技中心及智慧城市；并提供全方位的创新方案，以提升企业生产力和业务效率、减省营运成本，令企业在本地和海外市场中保持竞争优势。生产力局积极与本地工商界及世界级研发机构合作，开发应用技术方案，为产业创优增值。透过产品创新和技术转移，成功让研发成果商品化，制造商机。多年来，生产力局的世界级研发成果获得广泛肯定，屡获本地及海外奖项殊荣。生产力局亦致力为中小企和初创企业提供即时和适切的支援，并提供各类未来技能发展课程，让企业掌握最新数码及创科教育技术，以加强企业技能及提升市场竞争力。</w:t>
      </w:r>
    </w:p>
    <w:p w14:paraId="666E465C">
      <w:pPr>
        <w:spacing w:line="360" w:lineRule="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5E250D89">
      <w:pPr>
        <w:spacing w:line="360" w:lineRule="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54B43A2C">
      <w:pPr>
        <w:rPr>
          <w:rFonts w:hint="eastAsia"/>
          <w:lang w:val="en-US" w:eastAsia="zh-CN"/>
        </w:rPr>
      </w:pPr>
    </w:p>
    <w:p w14:paraId="7A06B61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auto"/>
          <w:highlight w:val="none"/>
          <w:lang w:val="en-US" w:eastAsia="zh-CN" w:bidi="ar"/>
        </w:rPr>
      </w:pPr>
      <w:r>
        <w:rPr>
          <w:rFonts w:hint="eastAsia" w:ascii="微软雅黑" w:hAnsi="微软雅黑" w:eastAsia="微软雅黑" w:cs="微软雅黑"/>
          <w:b/>
          <w:bCs/>
          <w:color w:val="auto"/>
          <w:highlight w:val="none"/>
          <w:lang w:val="en-US" w:eastAsia="zh-CN" w:bidi="ar"/>
        </w:rPr>
        <w:t>香港城市文化体验</w:t>
      </w:r>
    </w:p>
    <w:p w14:paraId="5A6FD08D">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微软雅黑" w:hAnsi="微软雅黑" w:eastAsia="微软雅黑" w:cs="微软雅黑"/>
          <w:b/>
          <w:bCs/>
          <w:color w:val="auto"/>
          <w:highlight w:val="none"/>
          <w:lang w:val="en-US" w:eastAsia="zh-CN" w:bidi="ar"/>
        </w:rPr>
      </w:pPr>
      <w:r>
        <w:rPr>
          <w:rFonts w:hint="eastAsia" w:ascii="微软雅黑" w:hAnsi="微软雅黑" w:eastAsia="微软雅黑" w:cs="微软雅黑"/>
          <w:b/>
          <w:bCs/>
          <w:color w:val="auto"/>
          <w:highlight w:val="none"/>
          <w:lang w:val="en-US" w:eastAsia="zh-CN" w:bidi="ar"/>
        </w:rPr>
        <w:t>香港迪士尼乐园</w:t>
      </w:r>
    </w:p>
    <w:p w14:paraId="581FE8F3">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3665220</wp:posOffset>
            </wp:positionH>
            <wp:positionV relativeFrom="paragraph">
              <wp:posOffset>41910</wp:posOffset>
            </wp:positionV>
            <wp:extent cx="1837055" cy="1372235"/>
            <wp:effectExtent l="0" t="0" r="10795" b="18415"/>
            <wp:wrapSquare wrapText="bothSides"/>
            <wp:docPr id="2" name="Picture 18" descr="说明: http://www.discoverhongkong.com/tc/attractions/images/disney-hkd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说明: http://www.discoverhongkong.com/tc/attractions/images/disney-hkdl04.jpg"/>
                    <pic:cNvPicPr>
                      <a:picLocks noChangeAspect="1"/>
                    </pic:cNvPicPr>
                  </pic:nvPicPr>
                  <pic:blipFill>
                    <a:blip r:embed="rId11"/>
                    <a:stretch>
                      <a:fillRect/>
                    </a:stretch>
                  </pic:blipFill>
                  <pic:spPr>
                    <a:xfrm>
                      <a:off x="0" y="0"/>
                      <a:ext cx="1837055" cy="1372235"/>
                    </a:xfrm>
                    <a:prstGeom prst="rect">
                      <a:avLst/>
                    </a:prstGeom>
                    <a:noFill/>
                    <a:ln>
                      <a:noFill/>
                    </a:ln>
                  </pic:spPr>
                </pic:pic>
              </a:graphicData>
            </a:graphic>
          </wp:anchor>
        </w:draw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迪士尼乐园既承继了迪士尼的传统，亦设计了不少独特创新的景点。包括让来自世界各地的奇珍异品在宾客眼前活灵活现的神秘博物馆-“迷离庄园”以及“幻想世界”,“反斗奇兵大本营”等主题园区，让宾客体验前所未有的奇妙乐趣。</w:t>
      </w:r>
    </w:p>
    <w:p w14:paraId="3CF8FA50">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021B83E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星光大道</w:t>
      </w:r>
    </w:p>
    <w:p w14:paraId="35AF3639">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3639820</wp:posOffset>
            </wp:positionH>
            <wp:positionV relativeFrom="paragraph">
              <wp:posOffset>63500</wp:posOffset>
            </wp:positionV>
            <wp:extent cx="2123440" cy="1654810"/>
            <wp:effectExtent l="0" t="0" r="10160" b="2540"/>
            <wp:wrapSquare wrapText="bothSides"/>
            <wp:docPr id="4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IMG_256"/>
                    <pic:cNvPicPr>
                      <a:picLocks noChangeAspect="1"/>
                    </pic:cNvPicPr>
                  </pic:nvPicPr>
                  <pic:blipFill>
                    <a:blip r:embed="rId12">
                      <a:lum bright="6000"/>
                    </a:blip>
                    <a:stretch>
                      <a:fillRect/>
                    </a:stretch>
                  </pic:blipFill>
                  <pic:spPr>
                    <a:xfrm>
                      <a:off x="0" y="0"/>
                      <a:ext cx="2123440" cy="1654810"/>
                    </a:xfrm>
                    <a:prstGeom prst="rect">
                      <a:avLst/>
                    </a:prstGeom>
                    <a:noFill/>
                    <a:ln w="9525">
                      <a:noFill/>
                    </a:ln>
                  </pic:spPr>
                </pic:pic>
              </a:graphicData>
            </a:graphic>
          </wp:anchor>
        </w:draw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星光大道（Avenue of Stars）位于九龙尖沙咀东部的尖沙咀海滨花园，是为表扬香港电影业界的杰出人士的特色景点，仿效美国好莱坞大道建造，杰出电影工作者的芳名与掌印均镶嵌在经过特别制作的纪念牌匾上，依据年代及次序排列在星光大道上。目前，星光大道可以容纳1000块纪念牌匾。</w:t>
      </w:r>
    </w:p>
    <w:p w14:paraId="05AEC379">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29220BA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78105</wp:posOffset>
            </wp:positionH>
            <wp:positionV relativeFrom="paragraph">
              <wp:posOffset>88265</wp:posOffset>
            </wp:positionV>
            <wp:extent cx="1259840" cy="1441450"/>
            <wp:effectExtent l="0" t="0" r="16510" b="635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3"/>
                    <a:srcRect t="9540" r="4258" b="28815"/>
                    <a:stretch>
                      <a:fillRect/>
                    </a:stretch>
                  </pic:blipFill>
                  <pic:spPr>
                    <a:xfrm>
                      <a:off x="0" y="0"/>
                      <a:ext cx="1259840" cy="1441450"/>
                    </a:xfrm>
                    <a:prstGeom prst="rect">
                      <a:avLst/>
                    </a:prstGeom>
                    <a:noFill/>
                    <a:ln w="9525">
                      <a:noFill/>
                    </a:ln>
                  </pic:spPr>
                </pic:pic>
              </a:graphicData>
            </a:graphic>
          </wp:anchor>
        </w:drawing>
      </w:r>
      <w:r>
        <w:rPr>
          <w:rFonts w:hint="eastAsia" w:ascii="微软雅黑" w:hAnsi="微软雅黑" w:eastAsia="微软雅黑" w:cs="微软雅黑"/>
          <w:b/>
          <w:bCs/>
          <w:color w:val="auto"/>
          <w:lang w:val="en-US" w:eastAsia="zh-CN" w:bidi="ar"/>
        </w:rPr>
        <w:t>金紫荆广场</w:t>
      </w:r>
    </w:p>
    <w:p w14:paraId="6F9F1F6C">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金紫荆广场在湾仔香港会议展览中心新翼外，极具历史意义，它标志着英国结束对香港的殖民统治，香港回归中华人民共和国，并成立香港特别行政区。</w:t>
      </w:r>
    </w:p>
    <w:p w14:paraId="0C536D71">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auto"/>
          <w:lang w:val="en-US" w:eastAsia="zh-CN" w:bidi="ar"/>
        </w:rPr>
      </w:pPr>
    </w:p>
    <w:p w14:paraId="49CE978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旺角</w:t>
      </w:r>
    </w:p>
    <w:p w14:paraId="21051389">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3317240</wp:posOffset>
            </wp:positionH>
            <wp:positionV relativeFrom="paragraph">
              <wp:posOffset>48895</wp:posOffset>
            </wp:positionV>
            <wp:extent cx="2019300" cy="1363345"/>
            <wp:effectExtent l="0" t="0" r="38100" b="46355"/>
            <wp:wrapTight wrapText="bothSides">
              <wp:wrapPolygon>
                <wp:start x="0" y="0"/>
                <wp:lineTo x="0" y="21429"/>
                <wp:lineTo x="21396" y="21429"/>
                <wp:lineTo x="21396" y="0"/>
                <wp:lineTo x="0" y="0"/>
              </wp:wrapPolygon>
            </wp:wrapTight>
            <wp:docPr id="4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IMG_256"/>
                    <pic:cNvPicPr>
                      <a:picLocks noChangeAspect="1"/>
                    </pic:cNvPicPr>
                  </pic:nvPicPr>
                  <pic:blipFill>
                    <a:blip r:embed="rId14">
                      <a:lum bright="6000"/>
                    </a:blip>
                    <a:stretch>
                      <a:fillRect/>
                    </a:stretch>
                  </pic:blipFill>
                  <pic:spPr>
                    <a:xfrm>
                      <a:off x="0" y="0"/>
                      <a:ext cx="2019300" cy="1363345"/>
                    </a:xfrm>
                    <a:prstGeom prst="rect">
                      <a:avLst/>
                    </a:prstGeom>
                    <a:noFill/>
                    <a:ln w="9525">
                      <a:noFill/>
                    </a:ln>
                  </pic:spPr>
                </pic:pic>
              </a:graphicData>
            </a:graphic>
          </wp:anchor>
        </w:drawing>
      </w: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旺角（Mong Kok），旧称芒角、望角，是香港九龙西部的一个已消失的海角，位于油尖旺区北部，现为香港著名的旅游和购物区之一</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w:t>
      </w: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旺角新旧楼宇林立，新型摩天大厦、旧式唐楼、繁华街道与排档纵横交错分布，是世界一大都市景观。以弥敦道为界，购物中心集中在东面，而西面则以传统民生活动为主。区内交通发达，有巴士及港铁（荃湾线和观塘线），更有专线小巴通宵行驶。</w:t>
      </w:r>
    </w:p>
    <w:p w14:paraId="7A893C87">
      <w:pPr>
        <w:spacing w:line="360" w:lineRule="auto"/>
        <w:rPr>
          <w:rFonts w:hint="eastAsia" w:ascii="微软雅黑" w:hAnsi="微软雅黑" w:eastAsia="微软雅黑" w:cs="微软雅黑"/>
          <w:b/>
          <w:bCs/>
          <w:color w:val="auto"/>
          <w:lang w:val="en-US" w:eastAsia="zh-CN" w:bidi="ar"/>
        </w:rPr>
      </w:pPr>
    </w:p>
    <w:p w14:paraId="15646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3560445</wp:posOffset>
            </wp:positionH>
            <wp:positionV relativeFrom="paragraph">
              <wp:posOffset>375920</wp:posOffset>
            </wp:positionV>
            <wp:extent cx="1803400" cy="1443355"/>
            <wp:effectExtent l="0" t="0" r="0" b="0"/>
            <wp:wrapThrough wrapText="bothSides">
              <wp:wrapPolygon>
                <wp:start x="0" y="0"/>
                <wp:lineTo x="0" y="21381"/>
                <wp:lineTo x="21448" y="21381"/>
                <wp:lineTo x="21448" y="0"/>
                <wp:lineTo x="0" y="0"/>
              </wp:wrapPolygon>
            </wp:wrapThrough>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15">
                      <a:lum bright="18000" contrast="6000"/>
                    </a:blip>
                    <a:stretch>
                      <a:fillRect/>
                    </a:stretch>
                  </pic:blipFill>
                  <pic:spPr>
                    <a:xfrm>
                      <a:off x="0" y="0"/>
                      <a:ext cx="1803400" cy="1443355"/>
                    </a:xfrm>
                    <a:prstGeom prst="rect">
                      <a:avLst/>
                    </a:prstGeom>
                    <a:noFill/>
                    <a:ln w="9525">
                      <a:noFill/>
                    </a:ln>
                  </pic:spPr>
                </pic:pic>
              </a:graphicData>
            </a:graphic>
          </wp:anchor>
        </w:drawing>
      </w:r>
      <w:r>
        <w:rPr>
          <w:rFonts w:hint="eastAsia" w:ascii="微软雅黑" w:hAnsi="微软雅黑" w:eastAsia="微软雅黑" w:cs="微软雅黑"/>
          <w:b/>
          <w:bCs/>
          <w:color w:val="auto"/>
          <w:lang w:val="en-US" w:eastAsia="zh-CN" w:bidi="ar"/>
        </w:rPr>
        <w:t>尖沙咀</w:t>
      </w:r>
    </w:p>
    <w:p w14:paraId="2014130B">
      <w:pPr>
        <w:spacing w:line="360" w:lineRule="auto"/>
        <w:ind w:firstLine="420" w:firstLineChars="200"/>
        <w:rPr>
          <w:rFonts w:hint="eastAsia" w:ascii="微软雅黑" w:hAnsi="微软雅黑" w:eastAsia="微软雅黑" w:cs="微软雅黑"/>
          <w:color w:val="000000"/>
          <w:kern w:val="0"/>
          <w:sz w:val="21"/>
          <w:szCs w:val="21"/>
          <w:lang w:val="en-US" w:eastAsia="en-US" w:bidi="ar"/>
        </w:rPr>
      </w:pPr>
      <w:r>
        <w:rPr>
          <w:rFonts w:hint="eastAsia" w:ascii="微软雅黑" w:hAnsi="微软雅黑" w:eastAsia="微软雅黑" w:cs="微软雅黑"/>
          <w:color w:val="000000"/>
          <w:kern w:val="0"/>
          <w:sz w:val="21"/>
          <w:szCs w:val="21"/>
          <w:lang w:val="en-US" w:eastAsia="en-US" w:bidi="ar"/>
        </w:rPr>
        <w:t>尖沙咀是九龙的购物区。霓虹灯照耀的弥敦道两旁，休闲餐厅和各式本地商店林林总总，而豪华商场则聚集在附近的广东道。维多利亚港的尖沙咀海滨花园是热门景点，可以欣赏香港天际线。</w:t>
      </w:r>
    </w:p>
    <w:p w14:paraId="1A568904">
      <w:pPr>
        <w:spacing w:line="360" w:lineRule="auto"/>
        <w:rPr>
          <w:rFonts w:hint="eastAsia" w:ascii="微软雅黑" w:hAnsi="微软雅黑" w:eastAsia="微软雅黑" w:cs="微软雅黑"/>
          <w:color w:val="000000"/>
          <w:kern w:val="0"/>
          <w:sz w:val="21"/>
          <w:szCs w:val="21"/>
          <w:lang w:val="en-US" w:eastAsia="en-US" w:bidi="ar"/>
        </w:rPr>
      </w:pPr>
    </w:p>
    <w:p w14:paraId="0C6CD35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铜锣湾</w:t>
      </w:r>
    </w:p>
    <w:p w14:paraId="72559C1C">
      <w:pPr>
        <w:spacing w:line="360" w:lineRule="auto"/>
        <w:ind w:firstLine="480" w:firstLineChars="200"/>
        <w:rPr>
          <w:rFonts w:hint="eastAsia"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85725</wp:posOffset>
            </wp:positionV>
            <wp:extent cx="2103120" cy="1447800"/>
            <wp:effectExtent l="0" t="0" r="11430" b="0"/>
            <wp:wrapSquare wrapText="bothSides"/>
            <wp:docPr id="4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256"/>
                    <pic:cNvPicPr>
                      <a:picLocks noChangeAspect="1"/>
                    </pic:cNvPicPr>
                  </pic:nvPicPr>
                  <pic:blipFill>
                    <a:blip r:embed="rId16">
                      <a:lum contrast="6000"/>
                    </a:blip>
                    <a:srcRect r="12470" b="-4240"/>
                    <a:stretch>
                      <a:fillRect/>
                    </a:stretch>
                  </pic:blipFill>
                  <pic:spPr>
                    <a:xfrm>
                      <a:off x="0" y="0"/>
                      <a:ext cx="2103120" cy="1447800"/>
                    </a:xfrm>
                    <a:prstGeom prst="rect">
                      <a:avLst/>
                    </a:prstGeom>
                    <a:noFill/>
                    <a:ln w="9525">
                      <a:noFill/>
                    </a:ln>
                  </pic:spPr>
                </pic:pic>
              </a:graphicData>
            </a:graphic>
          </wp:anchor>
        </w:drawing>
      </w:r>
      <w:r>
        <w:rPr>
          <w:rFonts w:hint="eastAsia" w:ascii="微软雅黑" w:hAnsi="微软雅黑" w:eastAsia="微软雅黑" w:cs="微软雅黑"/>
          <w:color w:val="000000"/>
          <w:kern w:val="0"/>
          <w:sz w:val="21"/>
          <w:szCs w:val="21"/>
          <w:lang w:val="en-US" w:eastAsia="en-US" w:bidi="ar"/>
        </w:rPr>
        <w:t>铜锣湾是香港充满生机的零售业中心。豪华商场、百货公司和精品店都汇集在西区，追求物美价廉的人们则会逛逛渣甸坊街市。这里的美食数不胜数，从高端餐厅到街头摊点，应有尽有。</w:t>
      </w:r>
    </w:p>
    <w:p w14:paraId="74DA4E19">
      <w:pPr>
        <w:spacing w:line="360" w:lineRule="auto"/>
        <w:rPr>
          <w:rFonts w:hint="eastAsia" w:ascii="微软雅黑" w:hAnsi="微软雅黑" w:eastAsia="微软雅黑" w:cs="微软雅黑"/>
          <w:b/>
          <w:bCs/>
          <w:color w:val="auto"/>
          <w:lang w:val="en-US" w:eastAsia="zh-CN" w:bidi="ar"/>
        </w:rPr>
      </w:pPr>
    </w:p>
    <w:p w14:paraId="6FA89280">
      <w:pPr>
        <w:spacing w:line="360" w:lineRule="auto"/>
        <w:rPr>
          <w:rFonts w:hint="eastAsia" w:ascii="微软雅黑" w:hAnsi="微软雅黑" w:eastAsia="微软雅黑" w:cs="微软雅黑"/>
          <w:b/>
          <w:bCs/>
          <w:color w:val="auto"/>
          <w:lang w:val="en-US" w:eastAsia="zh-CN" w:bidi="ar"/>
        </w:rPr>
      </w:pPr>
    </w:p>
    <w:p w14:paraId="168E07B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太平山顶</w:t>
      </w:r>
    </w:p>
    <w:p w14:paraId="21B32C73">
      <w:pPr>
        <w:spacing w:line="360" w:lineRule="auto"/>
        <w:ind w:firstLine="480"/>
        <w:rPr>
          <w:rFonts w:hint="eastAsia" w:ascii="微软雅黑" w:hAnsi="微软雅黑" w:eastAsia="微软雅黑" w:cs="微软雅黑"/>
          <w:color w:val="000000"/>
          <w:kern w:val="0"/>
          <w:sz w:val="21"/>
          <w:szCs w:val="21"/>
          <w:lang w:val="en-US" w:eastAsia="zh-CN" w:bidi="ar"/>
        </w:rPr>
      </w:pPr>
      <w:r>
        <w:drawing>
          <wp:anchor distT="0" distB="0" distL="114300" distR="114300" simplePos="0" relativeHeight="251666432" behindDoc="0" locked="0" layoutInCell="1" allowOverlap="1">
            <wp:simplePos x="0" y="0"/>
            <wp:positionH relativeFrom="column">
              <wp:posOffset>3484880</wp:posOffset>
            </wp:positionH>
            <wp:positionV relativeFrom="paragraph">
              <wp:posOffset>83820</wp:posOffset>
            </wp:positionV>
            <wp:extent cx="1842135" cy="1309370"/>
            <wp:effectExtent l="0" t="0" r="5715" b="5080"/>
            <wp:wrapSquare wrapText="bothSides"/>
            <wp:docPr id="3" name="Picture 17" descr="说明: 山頂凌霄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descr="说明: 山頂凌霄閣"/>
                    <pic:cNvPicPr>
                      <a:picLocks noChangeAspect="1"/>
                    </pic:cNvPicPr>
                  </pic:nvPicPr>
                  <pic:blipFill>
                    <a:blip r:embed="rId17"/>
                    <a:stretch>
                      <a:fillRect/>
                    </a:stretch>
                  </pic:blipFill>
                  <pic:spPr>
                    <a:xfrm>
                      <a:off x="0" y="0"/>
                      <a:ext cx="1842135" cy="1309370"/>
                    </a:xfrm>
                    <a:prstGeom prst="rect">
                      <a:avLst/>
                    </a:prstGeom>
                    <a:noFill/>
                    <a:ln>
                      <a:noFill/>
                    </a:ln>
                  </pic:spPr>
                </pic:pic>
              </a:graphicData>
            </a:graphic>
          </wp:anchor>
        </w:drawing>
      </w:r>
      <w:r>
        <w:rPr>
          <w:rFonts w:hint="eastAsia" w:ascii="微软雅黑" w:hAnsi="微软雅黑" w:eastAsia="微软雅黑" w:cs="微软雅黑"/>
          <w:color w:val="000000"/>
          <w:kern w:val="0"/>
          <w:sz w:val="21"/>
          <w:szCs w:val="21"/>
          <w:lang w:val="en-US" w:eastAsia="zh-CN" w:bidi="ar"/>
        </w:rPr>
        <w:t>太平山顶是香港最受欢迎的名胜景点之一，也是鸟瞰壮丽海港、绚丽市景的理想地。搭乘山顶缆车登上太平山顶，沿途可俯瞰维多利亚港景致，以钢索拖行的缆车，沿斜坡攀升373米(约1,200呎)，全程只需8分钟，便可到达山顶老亲亭。</w:t>
      </w:r>
    </w:p>
    <w:p w14:paraId="0CFE678E">
      <w:pPr>
        <w:spacing w:line="360" w:lineRule="auto"/>
        <w:rPr>
          <w:rFonts w:hint="eastAsia" w:ascii="微软雅黑" w:hAnsi="微软雅黑" w:eastAsia="微软雅黑" w:cs="微软雅黑"/>
          <w:color w:val="000000"/>
          <w:kern w:val="0"/>
          <w:sz w:val="21"/>
          <w:szCs w:val="21"/>
          <w:lang w:val="en-US" w:eastAsia="zh-CN" w:bidi="ar"/>
        </w:rPr>
      </w:pPr>
    </w:p>
    <w:p w14:paraId="50525A70">
      <w:pPr>
        <w:spacing w:line="360" w:lineRule="auto"/>
        <w:rPr>
          <w:rFonts w:hint="eastAsia" w:ascii="微软雅黑" w:hAnsi="微软雅黑" w:eastAsia="微软雅黑" w:cs="微软雅黑"/>
          <w:color w:val="000000"/>
          <w:kern w:val="0"/>
          <w:sz w:val="21"/>
          <w:szCs w:val="21"/>
          <w:lang w:val="en-US" w:eastAsia="zh-CN" w:bidi="ar"/>
        </w:rPr>
      </w:pPr>
    </w:p>
    <w:p w14:paraId="374E6F55">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项目须知</w:t>
      </w:r>
    </w:p>
    <w:p w14:paraId="50537CA2">
      <w:pPr>
        <w:spacing w:line="360" w:lineRule="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住宿及餐饮：</w:t>
      </w:r>
    </w:p>
    <w:p w14:paraId="049A19C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【住宿】</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学生将入住</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酒店，</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标间，</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同学们需自行准备生活用品</w:t>
      </w:r>
    </w:p>
    <w:p w14:paraId="5CFB03F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微软雅黑" w:hAnsi="微软雅黑" w:eastAsia="微软雅黑" w:cs="微软雅黑"/>
          <w:color w:val="000000" w:themeColor="text1"/>
          <w:sz w:val="21"/>
          <w:szCs w:val="21"/>
          <w:lang w:bidi="ar"/>
          <w14:textFill>
            <w14:solidFill>
              <w14:schemeClr w14:val="tx1"/>
            </w14:solidFill>
          </w14:textFill>
        </w:rPr>
        <w:t>【餐饮】</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学生自理一日三餐，简餐约30-60港币/餐</w:t>
      </w:r>
    </w:p>
    <w:p w14:paraId="2B51A9ED">
      <w:pPr>
        <w:jc w:val="both"/>
        <w:rPr>
          <w:rFonts w:hint="eastAsia" w:eastAsia="宋体"/>
          <w:lang w:eastAsia="zh-CN"/>
        </w:rPr>
      </w:pPr>
      <w:r>
        <w:rPr>
          <w:rFonts w:hint="eastAsia" w:eastAsia="宋体"/>
          <w:lang w:eastAsia="zh-CN"/>
        </w:rPr>
        <w:drawing>
          <wp:inline distT="0" distB="0" distL="114300" distR="114300">
            <wp:extent cx="1935480" cy="1252855"/>
            <wp:effectExtent l="0" t="0" r="7620" b="4445"/>
            <wp:docPr id="5" name="图片 5" descr="64cf5a065acf69b3fa66811751837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cf5a065acf69b3fa668117518379da"/>
                    <pic:cNvPicPr>
                      <a:picLocks noChangeAspect="1"/>
                    </pic:cNvPicPr>
                  </pic:nvPicPr>
                  <pic:blipFill>
                    <a:blip r:embed="rId18"/>
                    <a:srcRect t="1000" b="1018"/>
                    <a:stretch>
                      <a:fillRect/>
                    </a:stretch>
                  </pic:blipFill>
                  <pic:spPr>
                    <a:xfrm>
                      <a:off x="0" y="0"/>
                      <a:ext cx="1935480" cy="1252855"/>
                    </a:xfrm>
                    <a:prstGeom prst="rect">
                      <a:avLst/>
                    </a:prstGeom>
                  </pic:spPr>
                </pic:pic>
              </a:graphicData>
            </a:graphic>
          </wp:inline>
        </w:drawing>
      </w:r>
      <w:r>
        <w:rPr>
          <w:rFonts w:hint="eastAsia" w:eastAsia="宋体"/>
          <w:lang w:eastAsia="zh-CN"/>
        </w:rPr>
        <w:drawing>
          <wp:inline distT="0" distB="0" distL="114300" distR="114300">
            <wp:extent cx="1708150" cy="1228725"/>
            <wp:effectExtent l="0" t="0" r="6350" b="9525"/>
            <wp:docPr id="7" name="图片 7" descr="dc293291c2b8f1c2984d09a9d369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293291c2b8f1c2984d09a9d3690502"/>
                    <pic:cNvPicPr>
                      <a:picLocks noChangeAspect="1"/>
                    </pic:cNvPicPr>
                  </pic:nvPicPr>
                  <pic:blipFill>
                    <a:blip r:embed="rId19"/>
                    <a:srcRect b="2215"/>
                    <a:stretch>
                      <a:fillRect/>
                    </a:stretch>
                  </pic:blipFill>
                  <pic:spPr>
                    <a:xfrm>
                      <a:off x="0" y="0"/>
                      <a:ext cx="1708150" cy="1228725"/>
                    </a:xfrm>
                    <a:prstGeom prst="rect">
                      <a:avLst/>
                    </a:prstGeom>
                  </pic:spPr>
                </pic:pic>
              </a:graphicData>
            </a:graphic>
          </wp:inline>
        </w:drawing>
      </w:r>
      <w:r>
        <w:rPr>
          <w:rFonts w:hint="eastAsia" w:eastAsia="宋体"/>
          <w:lang w:eastAsia="zh-CN"/>
        </w:rPr>
        <w:drawing>
          <wp:inline distT="0" distB="0" distL="114300" distR="114300">
            <wp:extent cx="1595120" cy="1246505"/>
            <wp:effectExtent l="0" t="0" r="5080" b="10795"/>
            <wp:docPr id="8" name="图片 8" descr="6d627d94b1a6b23d95d77ecdc0f81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d627d94b1a6b23d95d77ecdc0f815f5"/>
                    <pic:cNvPicPr>
                      <a:picLocks noChangeAspect="1"/>
                    </pic:cNvPicPr>
                  </pic:nvPicPr>
                  <pic:blipFill>
                    <a:blip r:embed="rId20"/>
                    <a:srcRect t="14964" b="1267"/>
                    <a:stretch>
                      <a:fillRect/>
                    </a:stretch>
                  </pic:blipFill>
                  <pic:spPr>
                    <a:xfrm>
                      <a:off x="0" y="0"/>
                      <a:ext cx="1595120" cy="1246505"/>
                    </a:xfrm>
                    <a:prstGeom prst="rect">
                      <a:avLst/>
                    </a:prstGeom>
                  </pic:spPr>
                </pic:pic>
              </a:graphicData>
            </a:graphic>
          </wp:inline>
        </w:drawing>
      </w:r>
    </w:p>
    <w:p w14:paraId="434D6BDC">
      <w:pPr>
        <w:spacing w:line="360" w:lineRule="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香港</w:t>
      </w:r>
      <w:r>
        <w:rPr>
          <w:rFonts w:hint="eastAsia" w:ascii="微软雅黑" w:hAnsi="微软雅黑" w:eastAsia="微软雅黑" w:cs="微软雅黑"/>
          <w:b/>
          <w:bCs/>
          <w:color w:val="000000" w:themeColor="text1"/>
          <w:sz w:val="21"/>
          <w:szCs w:val="21"/>
          <w:lang w:bidi="ar"/>
          <w14:textFill>
            <w14:solidFill>
              <w14:schemeClr w14:val="tx1"/>
            </w14:solidFill>
          </w14:textFill>
        </w:rPr>
        <w:t>境内交通：</w:t>
      </w:r>
    </w:p>
    <w:p w14:paraId="0B834B3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项目包含</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境内</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学习</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参访</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时统一行程的</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交通费用</w:t>
      </w:r>
      <w:r>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t>。</w:t>
      </w:r>
    </w:p>
    <w:p w14:paraId="05C3FB5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如</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果</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同学们课外时间想要领略</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香港城市风光</w:t>
      </w:r>
      <w:r>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交通费用由学生自理</w:t>
      </w:r>
      <w:r>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同学们可搭乘公交、地铁等交通工具出行。</w:t>
      </w:r>
    </w:p>
    <w:p w14:paraId="7E1A8301">
      <w:pPr>
        <w:jc w:val="center"/>
        <w:rPr>
          <w:rFonts w:hint="eastAsia"/>
          <w:lang w:val="en-US" w:eastAsia="zh-CN"/>
        </w:rPr>
      </w:pPr>
      <w:r>
        <w:rPr>
          <w:rFonts w:hint="eastAsia"/>
          <w:lang w:val="en-US" w:eastAsia="zh-CN"/>
        </w:rPr>
        <w:drawing>
          <wp:inline distT="0" distB="0" distL="114300" distR="114300">
            <wp:extent cx="3744595" cy="2476500"/>
            <wp:effectExtent l="0" t="0" r="8255" b="0"/>
            <wp:docPr id="39" name="图片 39" descr="71cc3b64a11a855d33d36efbbf2ea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1cc3b64a11a855d33d36efbbf2eab0e"/>
                    <pic:cNvPicPr>
                      <a:picLocks noChangeAspect="1"/>
                    </pic:cNvPicPr>
                  </pic:nvPicPr>
                  <pic:blipFill>
                    <a:blip r:embed="rId21"/>
                    <a:stretch>
                      <a:fillRect/>
                    </a:stretch>
                  </pic:blipFill>
                  <pic:spPr>
                    <a:xfrm>
                      <a:off x="0" y="0"/>
                      <a:ext cx="3744595" cy="2476500"/>
                    </a:xfrm>
                    <a:prstGeom prst="rect">
                      <a:avLst/>
                    </a:prstGeom>
                  </pic:spPr>
                </pic:pic>
              </a:graphicData>
            </a:graphic>
          </wp:inline>
        </w:drawing>
      </w:r>
    </w:p>
    <w:p w14:paraId="0C16E192">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color w:val="262626"/>
          <w:spacing w:val="10"/>
          <w:sz w:val="21"/>
          <w:szCs w:val="21"/>
          <w14:textOutline w14:w="3797" w14:cap="flat" w14:cmpd="sng">
            <w14:solidFill>
              <w14:srgbClr w14:val="262626"/>
            </w14:solidFill>
            <w14:prstDash w14:val="solid"/>
            <w14:miter w14:val="0"/>
          </w14:textOutline>
        </w:rPr>
      </w:pPr>
    </w:p>
    <w:p w14:paraId="6F453C53">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color w:val="262626"/>
          <w:spacing w:val="9"/>
          <w:sz w:val="24"/>
          <w:szCs w:val="24"/>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通信及网络：</w:t>
      </w:r>
      <w:r>
        <w:rPr>
          <w:rFonts w:hint="eastAsia" w:ascii="微软雅黑" w:hAnsi="微软雅黑" w:eastAsia="微软雅黑" w:cs="微软雅黑"/>
          <w:color w:val="262626"/>
          <w:spacing w:val="10"/>
          <w:sz w:val="21"/>
          <w:szCs w:val="21"/>
        </w:rPr>
        <w:t>学生可自费办理</w:t>
      </w:r>
      <w:r>
        <w:rPr>
          <w:rFonts w:hint="eastAsia" w:ascii="微软雅黑" w:hAnsi="微软雅黑" w:eastAsia="微软雅黑" w:cs="微软雅黑"/>
          <w:color w:val="262626"/>
          <w:spacing w:val="10"/>
          <w:sz w:val="21"/>
          <w:szCs w:val="21"/>
          <w:lang w:val="en-US" w:eastAsia="zh-CN"/>
        </w:rPr>
        <w:t>香港</w:t>
      </w:r>
      <w:r>
        <w:rPr>
          <w:rFonts w:hint="eastAsia" w:ascii="微软雅黑" w:hAnsi="微软雅黑" w:eastAsia="微软雅黑" w:cs="微软雅黑"/>
          <w:color w:val="262626"/>
          <w:spacing w:val="10"/>
          <w:sz w:val="21"/>
          <w:szCs w:val="21"/>
        </w:rPr>
        <w:t>当地电话卡或开通国</w:t>
      </w:r>
      <w:r>
        <w:rPr>
          <w:rFonts w:hint="eastAsia" w:ascii="微软雅黑" w:hAnsi="微软雅黑" w:eastAsia="微软雅黑" w:cs="微软雅黑"/>
          <w:color w:val="262626"/>
          <w:spacing w:val="9"/>
          <w:sz w:val="21"/>
          <w:szCs w:val="21"/>
        </w:rPr>
        <w:t>际漫游</w:t>
      </w:r>
    </w:p>
    <w:p w14:paraId="5BB8AEF6">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color w:val="262626"/>
          <w:spacing w:val="9"/>
          <w:sz w:val="24"/>
          <w:szCs w:val="24"/>
        </w:rPr>
      </w:pPr>
    </w:p>
    <w:p w14:paraId="13D9FDA5">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海外保险：</w:t>
      </w:r>
      <w:r>
        <w:rPr>
          <w:rFonts w:hint="eastAsia" w:ascii="微软雅黑" w:hAnsi="微软雅黑" w:eastAsia="微软雅黑" w:cs="微软雅黑"/>
          <w:color w:val="262626"/>
          <w:spacing w:val="-55"/>
          <w:sz w:val="24"/>
          <w:szCs w:val="24"/>
        </w:rPr>
        <w:t xml:space="preserve"> </w:t>
      </w:r>
      <w:r>
        <w:rPr>
          <w:rFonts w:hint="eastAsia" w:ascii="微软雅黑" w:hAnsi="微软雅黑" w:eastAsia="微软雅黑" w:cs="微软雅黑"/>
          <w:color w:val="262626"/>
          <w:spacing w:val="8"/>
          <w:sz w:val="21"/>
          <w:szCs w:val="21"/>
        </w:rPr>
        <w:t>由主办方统一为学生购买医疗保险和意外伤害保险</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7"/>
          <w:sz w:val="21"/>
          <w:szCs w:val="21"/>
          <w:lang w:val="en-US" w:eastAsia="zh-CN"/>
        </w:rPr>
        <w:t>无需学生单独付费购买</w:t>
      </w:r>
      <w:r>
        <w:rPr>
          <w:rFonts w:hint="eastAsia" w:ascii="微软雅黑" w:hAnsi="微软雅黑" w:eastAsia="微软雅黑" w:cs="微软雅黑"/>
          <w:color w:val="262626"/>
          <w:spacing w:val="7"/>
          <w:sz w:val="21"/>
          <w:szCs w:val="21"/>
          <w:lang w:eastAsia="zh-CN"/>
        </w:rPr>
        <w:t>）</w:t>
      </w:r>
    </w:p>
    <w:p w14:paraId="00A4AC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3C980E14">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default" w:ascii="微软雅黑" w:hAnsi="微软雅黑" w:eastAsia="微软雅黑" w:cs="微软雅黑"/>
          <w:b w:val="0"/>
          <w:bCs w:val="0"/>
          <w:color w:val="262626"/>
          <w:spacing w:val="8"/>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证件：</w:t>
      </w:r>
      <w:r>
        <w:rPr>
          <w:rFonts w:hint="eastAsia" w:ascii="微软雅黑" w:hAnsi="微软雅黑" w:eastAsia="微软雅黑" w:cs="微软雅黑"/>
          <w:b w:val="0"/>
          <w:bCs w:val="0"/>
          <w:color w:val="262626"/>
          <w:spacing w:val="8"/>
          <w:sz w:val="21"/>
          <w:szCs w:val="21"/>
          <w:lang w:val="en-US" w:eastAsia="zh-CN"/>
        </w:rPr>
        <w:t>提前办理港澳通行证及有效签注</w:t>
      </w:r>
    </w:p>
    <w:p w14:paraId="1A18F63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7C8638CC">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赴港交通：</w:t>
      </w:r>
      <w:r>
        <w:rPr>
          <w:rFonts w:hint="eastAsia" w:ascii="微软雅黑" w:hAnsi="微软雅黑" w:eastAsia="微软雅黑" w:cs="微软雅黑"/>
          <w:color w:val="262626"/>
          <w:spacing w:val="7"/>
          <w:sz w:val="21"/>
          <w:szCs w:val="21"/>
        </w:rPr>
        <w:t>学生自行</w:t>
      </w:r>
      <w:r>
        <w:rPr>
          <w:rFonts w:hint="eastAsia" w:ascii="微软雅黑" w:hAnsi="微软雅黑" w:eastAsia="微软雅黑" w:cs="微软雅黑"/>
          <w:color w:val="262626"/>
          <w:spacing w:val="7"/>
          <w:sz w:val="21"/>
          <w:szCs w:val="21"/>
          <w:lang w:val="en-US" w:eastAsia="zh-CN"/>
        </w:rPr>
        <w:t>负担内地往返香港的交通费用</w:t>
      </w:r>
    </w:p>
    <w:p w14:paraId="415F56D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77FDFC53">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接送机：</w:t>
      </w:r>
      <w:r>
        <w:rPr>
          <w:rFonts w:hint="eastAsia" w:ascii="微软雅黑" w:hAnsi="微软雅黑" w:eastAsia="微软雅黑" w:cs="微软雅黑"/>
          <w:color w:val="262626"/>
          <w:spacing w:val="8"/>
          <w:sz w:val="21"/>
          <w:szCs w:val="21"/>
        </w:rPr>
        <w:t>项目主办方安排</w:t>
      </w:r>
      <w:r>
        <w:rPr>
          <w:rFonts w:hint="eastAsia" w:ascii="微软雅黑" w:hAnsi="微软雅黑" w:eastAsia="微软雅黑" w:cs="微软雅黑"/>
          <w:color w:val="262626"/>
          <w:spacing w:val="8"/>
          <w:sz w:val="21"/>
          <w:szCs w:val="21"/>
          <w:lang w:val="en-US" w:eastAsia="zh-CN"/>
        </w:rPr>
        <w:t>香港国际机场一</w:t>
      </w:r>
      <w:r>
        <w:rPr>
          <w:rFonts w:hint="eastAsia" w:ascii="微软雅黑" w:hAnsi="微软雅黑" w:eastAsia="微软雅黑" w:cs="微软雅黑"/>
          <w:color w:val="262626"/>
          <w:spacing w:val="8"/>
          <w:sz w:val="21"/>
          <w:szCs w:val="21"/>
        </w:rPr>
        <w:t>班免费接</w:t>
      </w:r>
      <w:r>
        <w:rPr>
          <w:rFonts w:hint="eastAsia" w:ascii="微软雅黑" w:hAnsi="微软雅黑" w:eastAsia="微软雅黑" w:cs="微软雅黑"/>
          <w:color w:val="262626"/>
          <w:spacing w:val="8"/>
          <w:sz w:val="21"/>
          <w:szCs w:val="21"/>
          <w:lang w:val="en-US" w:eastAsia="zh-CN"/>
        </w:rPr>
        <w:t>送</w:t>
      </w:r>
      <w:r>
        <w:rPr>
          <w:rFonts w:hint="eastAsia" w:ascii="微软雅黑" w:hAnsi="微软雅黑" w:eastAsia="微软雅黑" w:cs="微软雅黑"/>
          <w:color w:val="262626"/>
          <w:spacing w:val="8"/>
          <w:sz w:val="21"/>
          <w:szCs w:val="21"/>
        </w:rPr>
        <w:t>机服务</w:t>
      </w:r>
    </w:p>
    <w:p w14:paraId="5666B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微软雅黑" w:hAnsi="微软雅黑" w:eastAsia="微软雅黑" w:cs="微软雅黑"/>
          <w:b w:val="0"/>
          <w:bCs w:val="0"/>
          <w:color w:val="000000" w:themeColor="text1"/>
          <w:sz w:val="21"/>
          <w:szCs w:val="21"/>
          <w:highlight w:val="red"/>
          <w:lang w:val="en-US" w:eastAsia="zh-CN" w:bidi="ar"/>
          <w14:textFill>
            <w14:solidFill>
              <w14:schemeClr w14:val="tx1"/>
            </w14:solidFill>
          </w14:textFill>
        </w:rPr>
      </w:pPr>
    </w:p>
    <w:p w14:paraId="6469D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项目咨询：</w:t>
      </w:r>
    </w:p>
    <w:p w14:paraId="14856280">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项目方负责人：谢老师 18516384883（微信同号）</w:t>
      </w:r>
    </w:p>
    <w:p w14:paraId="72E37AE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微软雅黑" w:hAnsi="微软雅黑" w:eastAsia="微软雅黑" w:cs="微软雅黑"/>
          <w:b/>
          <w:bCs/>
          <w:sz w:val="21"/>
          <w:szCs w:val="21"/>
          <w:lang w:val="en-US" w:eastAsia="zh-CN"/>
        </w:rPr>
      </w:pPr>
      <w:r>
        <w:rPr>
          <w:rFonts w:hint="default"/>
          <w:lang w:val="en-US" w:eastAsia="zh-CN"/>
        </w:rPr>
        <w:drawing>
          <wp:inline distT="0" distB="0" distL="114300" distR="114300">
            <wp:extent cx="1393190" cy="1407160"/>
            <wp:effectExtent l="0" t="0" r="16510" b="2540"/>
            <wp:docPr id="12" name="图片 12" descr="谢老师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谢老师微信(1)"/>
                    <pic:cNvPicPr>
                      <a:picLocks noChangeAspect="1"/>
                    </pic:cNvPicPr>
                  </pic:nvPicPr>
                  <pic:blipFill>
                    <a:blip r:embed="rId22"/>
                    <a:stretch>
                      <a:fillRect/>
                    </a:stretch>
                  </pic:blipFill>
                  <pic:spPr>
                    <a:xfrm>
                      <a:off x="0" y="0"/>
                      <a:ext cx="1393190" cy="1407160"/>
                    </a:xfrm>
                    <a:prstGeom prst="rect">
                      <a:avLst/>
                    </a:prstGeom>
                  </pic:spPr>
                </pic:pic>
              </a:graphicData>
            </a:graphic>
          </wp:inline>
        </w:drawing>
      </w:r>
      <w:r>
        <w:rPr>
          <w:rFonts w:hint="eastAsia" w:ascii="微软雅黑" w:hAnsi="微软雅黑" w:eastAsia="微软雅黑" w:cs="微软雅黑"/>
          <w:sz w:val="21"/>
          <w:szCs w:val="21"/>
          <w:lang w:val="en-US" w:eastAsia="zh-CN"/>
        </w:rPr>
        <w:t>（扫码添加微信）</w:t>
      </w:r>
      <w:bookmarkStart w:id="0" w:name="_GoBack"/>
      <w:bookmarkEnd w:id="0"/>
    </w:p>
    <w:p w14:paraId="1B9792A3">
      <w:pPr>
        <w:spacing w:line="480" w:lineRule="exact"/>
        <w:rPr>
          <w:rFonts w:hint="default" w:ascii="微软雅黑" w:hAnsi="微软雅黑" w:eastAsia="微软雅黑" w:cs="微软雅黑"/>
          <w:color w:val="000000" w:themeColor="text1"/>
          <w:sz w:val="21"/>
          <w:szCs w:val="21"/>
          <w:lang w:val="en-US" w:eastAsia="zh-CN" w:bidi="ar"/>
          <w14:textFill>
            <w14:solidFill>
              <w14:schemeClr w14:val="tx1"/>
            </w14:solidFill>
          </w14:textFill>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4E69">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28E5E"/>
    <w:multiLevelType w:val="singleLevel"/>
    <w:tmpl w:val="C9528E5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F9CF7F2D"/>
    <w:rsid w:val="00043CD2"/>
    <w:rsid w:val="00206E55"/>
    <w:rsid w:val="002921C8"/>
    <w:rsid w:val="00463373"/>
    <w:rsid w:val="006C01DA"/>
    <w:rsid w:val="007045A1"/>
    <w:rsid w:val="00713567"/>
    <w:rsid w:val="0088274B"/>
    <w:rsid w:val="008C535E"/>
    <w:rsid w:val="008F2429"/>
    <w:rsid w:val="00920147"/>
    <w:rsid w:val="009D7CC2"/>
    <w:rsid w:val="009E6977"/>
    <w:rsid w:val="009F205B"/>
    <w:rsid w:val="00A01EB7"/>
    <w:rsid w:val="00A45B0F"/>
    <w:rsid w:val="00AF4D52"/>
    <w:rsid w:val="00BB563A"/>
    <w:rsid w:val="00D42419"/>
    <w:rsid w:val="00D47F43"/>
    <w:rsid w:val="00E27CE1"/>
    <w:rsid w:val="00E645F5"/>
    <w:rsid w:val="00E64BB5"/>
    <w:rsid w:val="00EF3554"/>
    <w:rsid w:val="00F053BF"/>
    <w:rsid w:val="00F84C63"/>
    <w:rsid w:val="00F86C73"/>
    <w:rsid w:val="00F90F89"/>
    <w:rsid w:val="00F95A1D"/>
    <w:rsid w:val="00FA6C67"/>
    <w:rsid w:val="01445BAC"/>
    <w:rsid w:val="017460A8"/>
    <w:rsid w:val="01861103"/>
    <w:rsid w:val="0187748A"/>
    <w:rsid w:val="018E2F62"/>
    <w:rsid w:val="01E548DF"/>
    <w:rsid w:val="031F3DF1"/>
    <w:rsid w:val="042C58C6"/>
    <w:rsid w:val="057628E8"/>
    <w:rsid w:val="05E16DC5"/>
    <w:rsid w:val="06220BE3"/>
    <w:rsid w:val="06B75798"/>
    <w:rsid w:val="06BC6527"/>
    <w:rsid w:val="073D2C0E"/>
    <w:rsid w:val="07951A88"/>
    <w:rsid w:val="07F36299"/>
    <w:rsid w:val="07F4578F"/>
    <w:rsid w:val="082E31F3"/>
    <w:rsid w:val="0907702F"/>
    <w:rsid w:val="0924138B"/>
    <w:rsid w:val="092D370C"/>
    <w:rsid w:val="09464D8B"/>
    <w:rsid w:val="0B13156C"/>
    <w:rsid w:val="0B165B61"/>
    <w:rsid w:val="0C3F47D8"/>
    <w:rsid w:val="0C6A5D7C"/>
    <w:rsid w:val="0D9A3DC8"/>
    <w:rsid w:val="0E3971CF"/>
    <w:rsid w:val="0EBB70C4"/>
    <w:rsid w:val="0FA933C0"/>
    <w:rsid w:val="1069168E"/>
    <w:rsid w:val="126B5E13"/>
    <w:rsid w:val="12747CB6"/>
    <w:rsid w:val="12903AA2"/>
    <w:rsid w:val="135F0966"/>
    <w:rsid w:val="143A0A8B"/>
    <w:rsid w:val="146A4C31"/>
    <w:rsid w:val="15714A54"/>
    <w:rsid w:val="159B43D0"/>
    <w:rsid w:val="167F4E7B"/>
    <w:rsid w:val="18382434"/>
    <w:rsid w:val="18F02F8A"/>
    <w:rsid w:val="1912647A"/>
    <w:rsid w:val="196327B1"/>
    <w:rsid w:val="19C909B4"/>
    <w:rsid w:val="1A292427"/>
    <w:rsid w:val="1A4D2829"/>
    <w:rsid w:val="1AF35E37"/>
    <w:rsid w:val="1AF729F0"/>
    <w:rsid w:val="1AFE6CB6"/>
    <w:rsid w:val="1BAE581B"/>
    <w:rsid w:val="1BCC2910"/>
    <w:rsid w:val="1D596426"/>
    <w:rsid w:val="1E6C3995"/>
    <w:rsid w:val="1E996EF9"/>
    <w:rsid w:val="201C373B"/>
    <w:rsid w:val="20C21801"/>
    <w:rsid w:val="21190C88"/>
    <w:rsid w:val="21B302F6"/>
    <w:rsid w:val="21BA1B4C"/>
    <w:rsid w:val="227565BF"/>
    <w:rsid w:val="23621DAC"/>
    <w:rsid w:val="2379043D"/>
    <w:rsid w:val="24811BD0"/>
    <w:rsid w:val="28A075FF"/>
    <w:rsid w:val="28DC05B9"/>
    <w:rsid w:val="28F079B5"/>
    <w:rsid w:val="29695C42"/>
    <w:rsid w:val="2A0B0AA8"/>
    <w:rsid w:val="2A1258B5"/>
    <w:rsid w:val="2B6D5165"/>
    <w:rsid w:val="2B8C29EC"/>
    <w:rsid w:val="2D796EAB"/>
    <w:rsid w:val="2E9A689E"/>
    <w:rsid w:val="2EA37940"/>
    <w:rsid w:val="2FD44154"/>
    <w:rsid w:val="315C7E3B"/>
    <w:rsid w:val="324D2CF5"/>
    <w:rsid w:val="34FD404E"/>
    <w:rsid w:val="35357321"/>
    <w:rsid w:val="35BF52B2"/>
    <w:rsid w:val="3657117D"/>
    <w:rsid w:val="36AF3103"/>
    <w:rsid w:val="3758265C"/>
    <w:rsid w:val="37712B30"/>
    <w:rsid w:val="38285776"/>
    <w:rsid w:val="39955FF2"/>
    <w:rsid w:val="3AC34A3C"/>
    <w:rsid w:val="3B240E97"/>
    <w:rsid w:val="3B4007CD"/>
    <w:rsid w:val="3C385A3F"/>
    <w:rsid w:val="3C5F2ED5"/>
    <w:rsid w:val="3DAB4624"/>
    <w:rsid w:val="3DAE1A1E"/>
    <w:rsid w:val="3E7179A6"/>
    <w:rsid w:val="3E817133"/>
    <w:rsid w:val="3FB53538"/>
    <w:rsid w:val="405F34A4"/>
    <w:rsid w:val="40BE1F8C"/>
    <w:rsid w:val="410703C2"/>
    <w:rsid w:val="41664E4D"/>
    <w:rsid w:val="42C847F6"/>
    <w:rsid w:val="42FB6FC1"/>
    <w:rsid w:val="434507EC"/>
    <w:rsid w:val="43D353AE"/>
    <w:rsid w:val="44495943"/>
    <w:rsid w:val="44683056"/>
    <w:rsid w:val="47081B8F"/>
    <w:rsid w:val="47087EA0"/>
    <w:rsid w:val="48F13A80"/>
    <w:rsid w:val="49501428"/>
    <w:rsid w:val="49B63529"/>
    <w:rsid w:val="4A5A155B"/>
    <w:rsid w:val="4AB41B49"/>
    <w:rsid w:val="4BE244A9"/>
    <w:rsid w:val="4C0344C2"/>
    <w:rsid w:val="4D3D487B"/>
    <w:rsid w:val="4F8D7DF6"/>
    <w:rsid w:val="510F2694"/>
    <w:rsid w:val="51BC0756"/>
    <w:rsid w:val="526E548C"/>
    <w:rsid w:val="52987BE1"/>
    <w:rsid w:val="545509EE"/>
    <w:rsid w:val="546647FF"/>
    <w:rsid w:val="54D67EA1"/>
    <w:rsid w:val="56332FB1"/>
    <w:rsid w:val="56977FCF"/>
    <w:rsid w:val="56E57FF1"/>
    <w:rsid w:val="57186596"/>
    <w:rsid w:val="582F6A50"/>
    <w:rsid w:val="59D625D1"/>
    <w:rsid w:val="5AA71877"/>
    <w:rsid w:val="5CD047B8"/>
    <w:rsid w:val="5D335644"/>
    <w:rsid w:val="5DE84681"/>
    <w:rsid w:val="5F290805"/>
    <w:rsid w:val="5FC24874"/>
    <w:rsid w:val="5FD117C0"/>
    <w:rsid w:val="5FE97403"/>
    <w:rsid w:val="634C7460"/>
    <w:rsid w:val="63F96601"/>
    <w:rsid w:val="64467B2B"/>
    <w:rsid w:val="649317EA"/>
    <w:rsid w:val="64CE2D05"/>
    <w:rsid w:val="64E738E4"/>
    <w:rsid w:val="65271F32"/>
    <w:rsid w:val="65EE6EF6"/>
    <w:rsid w:val="679F4C87"/>
    <w:rsid w:val="67C16637"/>
    <w:rsid w:val="67F0485E"/>
    <w:rsid w:val="687C4F51"/>
    <w:rsid w:val="68950C13"/>
    <w:rsid w:val="68A24AB7"/>
    <w:rsid w:val="69625B06"/>
    <w:rsid w:val="69E93C5A"/>
    <w:rsid w:val="6ABB225B"/>
    <w:rsid w:val="6B2D401B"/>
    <w:rsid w:val="6B596E94"/>
    <w:rsid w:val="6B9240E9"/>
    <w:rsid w:val="6D463172"/>
    <w:rsid w:val="6DF27F6E"/>
    <w:rsid w:val="6E31670A"/>
    <w:rsid w:val="6E65280C"/>
    <w:rsid w:val="6E974BD9"/>
    <w:rsid w:val="6EC757E0"/>
    <w:rsid w:val="6EF2710D"/>
    <w:rsid w:val="6F073E88"/>
    <w:rsid w:val="6F791701"/>
    <w:rsid w:val="710B41DD"/>
    <w:rsid w:val="71CA611F"/>
    <w:rsid w:val="724A7260"/>
    <w:rsid w:val="72AF65B7"/>
    <w:rsid w:val="72C15778"/>
    <w:rsid w:val="73685BF0"/>
    <w:rsid w:val="73AE50CD"/>
    <w:rsid w:val="74802E55"/>
    <w:rsid w:val="75D975AB"/>
    <w:rsid w:val="7726295E"/>
    <w:rsid w:val="776D3018"/>
    <w:rsid w:val="77C267CE"/>
    <w:rsid w:val="780879A1"/>
    <w:rsid w:val="78132447"/>
    <w:rsid w:val="794738C3"/>
    <w:rsid w:val="7A0A451C"/>
    <w:rsid w:val="7A2F7467"/>
    <w:rsid w:val="7C0F2969"/>
    <w:rsid w:val="7CA103C5"/>
    <w:rsid w:val="7D2702D6"/>
    <w:rsid w:val="7DEF72AE"/>
    <w:rsid w:val="7FA06711"/>
    <w:rsid w:val="7FDD7966"/>
    <w:rsid w:val="915E4A4F"/>
    <w:rsid w:val="F9CF7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val="0"/>
      <w:autoSpaceDE w:val="0"/>
      <w:autoSpaceDN w:val="0"/>
      <w:spacing w:before="163"/>
    </w:pPr>
    <w:rPr>
      <w:rFonts w:ascii="仿宋" w:hAnsi="仿宋" w:eastAsia="仿宋" w:cs="仿宋"/>
      <w:sz w:val="36"/>
      <w:szCs w:val="36"/>
      <w:lang w:val="zh-CN" w:bidi="zh-CN"/>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autoRedefine/>
    <w:qFormat/>
    <w:uiPriority w:val="0"/>
    <w:rPr>
      <w:color w:val="0000FF"/>
      <w:u w:val="single"/>
    </w:rPr>
  </w:style>
  <w:style w:type="paragraph" w:styleId="11">
    <w:name w:val="List Paragraph"/>
    <w:basedOn w:val="1"/>
    <w:autoRedefine/>
    <w:qFormat/>
    <w:uiPriority w:val="99"/>
    <w:pPr>
      <w:widowControl w:val="0"/>
      <w:ind w:firstLine="420" w:firstLineChars="200"/>
      <w:jc w:val="both"/>
    </w:pPr>
    <w:rPr>
      <w:rFonts w:ascii="Calibri" w:hAnsi="Calibri" w:eastAsia="宋体" w:cs="Times New Roman"/>
      <w:kern w:val="2"/>
      <w:sz w:val="21"/>
    </w:rPr>
  </w:style>
  <w:style w:type="paragraph" w:customStyle="1" w:styleId="12">
    <w:name w:val="列表段落1"/>
    <w:basedOn w:val="1"/>
    <w:autoRedefine/>
    <w:qFormat/>
    <w:uiPriority w:val="34"/>
    <w:pPr>
      <w:ind w:firstLine="420" w:firstLineChars="200"/>
    </w:pPr>
  </w:style>
  <w:style w:type="character" w:customStyle="1" w:styleId="13">
    <w:name w:val="pp-place-title"/>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webp"/><Relationship Id="rId12" Type="http://schemas.openxmlformats.org/officeDocument/2006/relationships/image" Target="media/image8.webp"/><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4364</Words>
  <Characters>4640</Characters>
  <Lines>20</Lines>
  <Paragraphs>5</Paragraphs>
  <TotalTime>0</TotalTime>
  <ScaleCrop>false</ScaleCrop>
  <LinksUpToDate>false</LinksUpToDate>
  <CharactersWithSpaces>4670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2024-03-05T02:12:00Z</dcterms:created>
  <dc:creator>張小e❓</dc:creator>
  <cp:lastModifiedBy>项目指导老师-谢老师</cp:lastModifiedBy>
  <cp:lastPrinted>2024-03-06T09:28:00Z</cp:lastPrinted>
  <dcterms:modified xsi:type="dcterms:W3CDTF">2026-03-19T03:44:33Z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D85B4337315F49F3B7D6F4F41A08C0EE_13</vt:lpwstr>
  </property>
  <property fmtid="{D5CDD505-2E9C-101B-9397-08002B2CF9AE}" pid="4" name="KSOTemplateDocerSaveRecord">
    <vt:lpwstr>eyJoZGlkIjoiMmFmMWIyNzAzM2M1MzUxZTk3N2Y5ZmE3OWY4OTU2NmQiLCJ1c2VySWQiOiIxNTEzMTQyMTI4In0=</vt:lpwstr>
  </property>
</Properties>
</file>