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25E7E">
      <w:pPr>
        <w:spacing w:line="360" w:lineRule="auto"/>
        <w:jc w:val="both"/>
        <w:rPr>
          <w:rFonts w:hint="eastAsia"/>
        </w:rPr>
      </w:pPr>
    </w:p>
    <w:p w14:paraId="790BE3F5">
      <w:pPr>
        <w:spacing w:line="360" w:lineRule="auto"/>
        <w:jc w:val="both"/>
        <w:rPr>
          <w:rFonts w:hint="eastAsia"/>
        </w:rPr>
      </w:pPr>
      <w:r>
        <w:rPr>
          <w:rFonts w:hint="eastAsia" w:eastAsia="宋体"/>
          <w:sz w:val="44"/>
          <w:szCs w:val="44"/>
          <w:lang w:eastAsia="zh-CN"/>
        </w:rPr>
        <w:drawing>
          <wp:anchor distT="0" distB="0" distL="114300" distR="114300" simplePos="0" relativeHeight="251665408" behindDoc="0" locked="0" layoutInCell="1" allowOverlap="1">
            <wp:simplePos x="0" y="0"/>
            <wp:positionH relativeFrom="column">
              <wp:posOffset>632460</wp:posOffset>
            </wp:positionH>
            <wp:positionV relativeFrom="paragraph">
              <wp:posOffset>228600</wp:posOffset>
            </wp:positionV>
            <wp:extent cx="3958590" cy="4953635"/>
            <wp:effectExtent l="0" t="0" r="3810" b="18415"/>
            <wp:wrapTopAndBottom/>
            <wp:docPr id="13" name="图片 13" descr="微信图片_2026012617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60126172247"/>
                    <pic:cNvPicPr>
                      <a:picLocks noChangeAspect="1"/>
                    </pic:cNvPicPr>
                  </pic:nvPicPr>
                  <pic:blipFill>
                    <a:blip r:embed="rId5">
                      <a:lum bright="6000"/>
                    </a:blip>
                    <a:stretch>
                      <a:fillRect/>
                    </a:stretch>
                  </pic:blipFill>
                  <pic:spPr>
                    <a:xfrm>
                      <a:off x="0" y="0"/>
                      <a:ext cx="3958590" cy="4953635"/>
                    </a:xfrm>
                    <a:prstGeom prst="rect">
                      <a:avLst/>
                    </a:prstGeom>
                  </pic:spPr>
                </pic:pic>
              </a:graphicData>
            </a:graphic>
          </wp:anchor>
        </w:drawing>
      </w:r>
    </w:p>
    <w:p w14:paraId="5D59A3BC">
      <w:pPr>
        <w:spacing w:line="360" w:lineRule="auto"/>
        <w:rPr>
          <w:rFonts w:hint="eastAsia" w:ascii="微软雅黑" w:hAnsi="微软雅黑" w:eastAsia="微软雅黑" w:cs="微软雅黑"/>
          <w:b/>
          <w:bCs/>
        </w:rPr>
      </w:pPr>
    </w:p>
    <w:p w14:paraId="44D8E22D">
      <w:pPr>
        <w:spacing w:line="360" w:lineRule="auto"/>
        <w:jc w:val="center"/>
        <w:rPr>
          <w:rFonts w:hint="eastAsia" w:ascii="微软雅黑" w:hAnsi="微软雅黑" w:eastAsia="微软雅黑" w:cs="微软雅黑"/>
          <w:b/>
          <w:bCs/>
          <w:lang w:val="en-US" w:eastAsia="zh-CN"/>
        </w:rPr>
      </w:pPr>
      <w:r>
        <w:rPr>
          <w:rStyle w:val="13"/>
          <w:rFonts w:hint="eastAsia" w:ascii="微软雅黑" w:hAnsi="微软雅黑" w:eastAsia="微软雅黑" w:cs="微软雅黑"/>
          <w:b/>
          <w:color w:val="auto"/>
          <w:sz w:val="44"/>
          <w:szCs w:val="44"/>
        </w:rPr>
        <w:t>新加坡名校海外创新创业实训项目</w:t>
      </w:r>
    </w:p>
    <w:p w14:paraId="78339C3A">
      <w:pPr>
        <w:spacing w:line="360" w:lineRule="auto"/>
        <w:jc w:val="center"/>
        <w:rPr>
          <w:rFonts w:hint="eastAsia" w:ascii="微软雅黑" w:hAnsi="微软雅黑" w:eastAsia="微软雅黑" w:cs="微软雅黑"/>
          <w:b/>
          <w:bCs/>
        </w:rPr>
        <w:sectPr>
          <w:pgSz w:w="11906" w:h="16838"/>
          <w:pgMar w:top="1440" w:right="1800" w:bottom="1440" w:left="1800" w:header="851" w:footer="992" w:gutter="0"/>
          <w:cols w:space="425" w:num="1"/>
          <w:docGrid w:type="lines" w:linePitch="312" w:charSpace="0"/>
        </w:sectPr>
      </w:pPr>
    </w:p>
    <w:p w14:paraId="09EE81E3">
      <w:pPr>
        <w:spacing w:line="360" w:lineRule="auto"/>
        <w:rPr>
          <w:rFonts w:hint="eastAsia" w:ascii="微软雅黑" w:hAnsi="微软雅黑" w:eastAsia="微软雅黑" w:cs="微软雅黑"/>
          <w:b/>
          <w:bCs/>
          <w:lang w:val="en-US" w:eastAsia="zh-CN"/>
        </w:rPr>
      </w:pPr>
      <w:r>
        <w:rPr>
          <w:rFonts w:hint="eastAsia" w:ascii="微软雅黑" w:hAnsi="微软雅黑" w:eastAsia="微软雅黑" w:cs="微软雅黑"/>
          <w:b/>
          <w:bCs/>
        </w:rPr>
        <w:t>项目</w:t>
      </w:r>
      <w:r>
        <w:rPr>
          <w:rFonts w:hint="eastAsia" w:ascii="微软雅黑" w:hAnsi="微软雅黑" w:eastAsia="微软雅黑" w:cs="微软雅黑"/>
          <w:b/>
          <w:bCs/>
          <w:lang w:val="en-US" w:eastAsia="zh-CN"/>
        </w:rPr>
        <w:t>背景</w:t>
      </w:r>
    </w:p>
    <w:p w14:paraId="43DC956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color w:val="000000"/>
          <w:sz w:val="21"/>
          <w:szCs w:val="21"/>
          <w:lang w:val="en-US" w:eastAsia="zh-CN" w:bidi="ar"/>
        </w:rPr>
        <w:t>为培养具有国际视野的创新型高素质人才，切实提升学生国际竞争力和就业能力，</w:t>
      </w:r>
      <w:r>
        <w:rPr>
          <w:rFonts w:hint="eastAsia" w:ascii="微软雅黑" w:hAnsi="微软雅黑" w:eastAsia="微软雅黑" w:cs="微软雅黑"/>
          <w:color w:val="000000"/>
          <w:sz w:val="21"/>
          <w:szCs w:val="21"/>
          <w:lang w:bidi="ar"/>
        </w:rPr>
        <w:t>推动国内高校着力构建赶超世界先进水平人才培养体系，加快培养勇闯“无人区”的高层次人才，推出“新加坡名校海外创新创业实训项目”。</w:t>
      </w:r>
      <w:r>
        <w:rPr>
          <w:rFonts w:hint="eastAsia" w:ascii="微软雅黑" w:hAnsi="微软雅黑" w:eastAsia="微软雅黑" w:cs="微软雅黑"/>
          <w:color w:val="000000"/>
          <w:sz w:val="21"/>
          <w:szCs w:val="21"/>
          <w:lang w:val="en-US" w:bidi="ar"/>
        </w:rPr>
        <w:t>项目为期7天，学生赴新加坡国立大学和南洋理工大学进行参访，赴新加坡社科大学学习、交流，深入新加坡政企机构展开行业及企业调研、学习以及交流。项目由</w:t>
      </w:r>
      <w:r>
        <w:rPr>
          <w:rFonts w:hint="eastAsia" w:ascii="微软雅黑" w:hAnsi="微软雅黑" w:eastAsia="微软雅黑" w:cs="微软雅黑"/>
          <w:color w:val="000000"/>
          <w:sz w:val="21"/>
          <w:szCs w:val="21"/>
          <w:lang w:val="en-US" w:eastAsia="zh-CN" w:bidi="ar"/>
        </w:rPr>
        <w:t>各高校参与学生</w:t>
      </w:r>
      <w:r>
        <w:rPr>
          <w:rFonts w:hint="eastAsia" w:ascii="微软雅黑" w:hAnsi="微软雅黑" w:eastAsia="微软雅黑" w:cs="微软雅黑"/>
          <w:color w:val="000000"/>
          <w:sz w:val="21"/>
          <w:szCs w:val="21"/>
          <w:lang w:val="en-US" w:bidi="ar"/>
        </w:rPr>
        <w:t>共同组成小组，深入新</w:t>
      </w:r>
      <w:r>
        <w:rPr>
          <w:rFonts w:hint="eastAsia" w:ascii="微软雅黑" w:hAnsi="微软雅黑" w:eastAsia="微软雅黑" w:cs="微软雅黑"/>
          <w:color w:val="000000"/>
          <w:sz w:val="21"/>
          <w:szCs w:val="21"/>
          <w:lang w:val="en-US" w:eastAsia="zh-CN" w:bidi="ar"/>
        </w:rPr>
        <w:t>加坡高校、政企机构</w:t>
      </w:r>
      <w:r>
        <w:rPr>
          <w:rFonts w:hint="eastAsia" w:ascii="微软雅黑" w:hAnsi="微软雅黑" w:eastAsia="微软雅黑" w:cs="微软雅黑"/>
          <w:color w:val="000000"/>
          <w:sz w:val="21"/>
          <w:szCs w:val="21"/>
          <w:lang w:val="en-US" w:bidi="ar"/>
        </w:rPr>
        <w:t>开展项目体验、专业学习、职业规划</w:t>
      </w:r>
      <w:r>
        <w:rPr>
          <w:rFonts w:hint="eastAsia" w:ascii="微软雅黑" w:hAnsi="微软雅黑" w:eastAsia="微软雅黑" w:cs="微软雅黑"/>
          <w:color w:val="000000"/>
          <w:sz w:val="21"/>
          <w:szCs w:val="21"/>
          <w:lang w:val="en-US" w:eastAsia="zh-CN" w:bidi="ar"/>
        </w:rPr>
        <w:t>等</w:t>
      </w:r>
      <w:r>
        <w:rPr>
          <w:rFonts w:hint="eastAsia" w:ascii="微软雅黑" w:hAnsi="微软雅黑" w:eastAsia="微软雅黑" w:cs="微软雅黑"/>
          <w:color w:val="000000"/>
          <w:sz w:val="21"/>
          <w:szCs w:val="21"/>
          <w:lang w:val="en-US" w:bidi="ar"/>
        </w:rPr>
        <w:t>，帮助学生深刻了解战略前沿行业、规划职业发展、赋能职业技能</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color w:val="000000"/>
          <w:sz w:val="21"/>
          <w:szCs w:val="21"/>
          <w:lang w:val="en-US" w:bidi="ar"/>
        </w:rPr>
        <w:t>树立职业信心，对接企业和导师资源，</w:t>
      </w:r>
      <w:r>
        <w:rPr>
          <w:rFonts w:hint="eastAsia" w:ascii="微软雅黑" w:hAnsi="微软雅黑" w:eastAsia="微软雅黑" w:cs="微软雅黑"/>
          <w:color w:val="000000"/>
          <w:sz w:val="21"/>
          <w:szCs w:val="21"/>
          <w:lang w:val="en-US" w:eastAsia="zh-CN" w:bidi="ar"/>
        </w:rPr>
        <w:t>增强学生跨文化交流能力，</w:t>
      </w:r>
      <w:r>
        <w:rPr>
          <w:rFonts w:hint="eastAsia" w:ascii="微软雅黑" w:hAnsi="微软雅黑" w:eastAsia="微软雅黑" w:cs="微软雅黑"/>
          <w:color w:val="000000"/>
          <w:sz w:val="21"/>
          <w:szCs w:val="21"/>
          <w:lang w:val="en-US" w:bidi="ar"/>
        </w:rPr>
        <w:t>帮助学生</w:t>
      </w:r>
      <w:r>
        <w:rPr>
          <w:rFonts w:hint="eastAsia" w:ascii="微软雅黑" w:hAnsi="微软雅黑" w:eastAsia="微软雅黑" w:cs="微软雅黑"/>
          <w:color w:val="000000"/>
          <w:sz w:val="21"/>
          <w:szCs w:val="21"/>
          <w:lang w:val="en-US" w:eastAsia="zh-CN" w:bidi="ar"/>
        </w:rPr>
        <w:t>了解</w:t>
      </w:r>
      <w:r>
        <w:rPr>
          <w:rFonts w:hint="eastAsia" w:ascii="微软雅黑" w:hAnsi="微软雅黑" w:eastAsia="微软雅黑" w:cs="微软雅黑"/>
          <w:color w:val="000000"/>
          <w:sz w:val="21"/>
          <w:szCs w:val="21"/>
          <w:lang w:val="en-US" w:bidi="ar"/>
        </w:rPr>
        <w:t>新加坡名企，对企业需求有更准确的认知。</w:t>
      </w:r>
    </w:p>
    <w:p w14:paraId="10E22618">
      <w:pPr>
        <w:spacing w:line="360" w:lineRule="auto"/>
        <w:ind w:firstLine="420" w:firstLineChars="200"/>
        <w:rPr>
          <w:rFonts w:ascii="仿宋" w:hAnsi="仿宋" w:eastAsia="仿宋"/>
          <w:color w:val="000000"/>
          <w:sz w:val="21"/>
          <w:szCs w:val="21"/>
          <w:lang w:bidi="ar"/>
        </w:rPr>
      </w:pPr>
    </w:p>
    <w:p w14:paraId="44B467AD">
      <w:pPr>
        <w:pStyle w:val="2"/>
        <w:spacing w:before="0" w:line="360" w:lineRule="auto"/>
        <w:ind w:right="113"/>
        <w:rPr>
          <w:rFonts w:hint="eastAsia"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rPr>
        <w:t>项目亮点：</w:t>
      </w:r>
    </w:p>
    <w:p w14:paraId="45735D4D">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highlight w:val="none"/>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highlight w:val="none"/>
          <w:lang w:val="en-US" w:eastAsia="zh-CN"/>
        </w:rPr>
        <w:t>新加坡国立大学和南洋理工大学参访，新加坡社科大学学习、交流；</w:t>
      </w:r>
    </w:p>
    <w:p w14:paraId="18ADB5E7">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rPr>
        <w:t>深入</w:t>
      </w:r>
      <w:r>
        <w:rPr>
          <w:rFonts w:hint="eastAsia" w:ascii="微软雅黑" w:hAnsi="微软雅黑" w:eastAsia="微软雅黑" w:cs="微软雅黑"/>
          <w:spacing w:val="-4"/>
          <w:sz w:val="21"/>
          <w:szCs w:val="21"/>
          <w:lang w:val="en-US" w:eastAsia="zh-CN"/>
        </w:rPr>
        <w:t>新加坡</w:t>
      </w:r>
      <w:r>
        <w:rPr>
          <w:rFonts w:hint="eastAsia" w:ascii="微软雅黑" w:hAnsi="微软雅黑" w:eastAsia="微软雅黑" w:cs="微软雅黑"/>
          <w:spacing w:val="-4"/>
          <w:sz w:val="21"/>
          <w:szCs w:val="21"/>
          <w:lang w:val="en-US"/>
        </w:rPr>
        <w:t>名企</w:t>
      </w:r>
      <w:r>
        <w:rPr>
          <w:rFonts w:hint="eastAsia" w:ascii="微软雅黑" w:hAnsi="微软雅黑" w:eastAsia="微软雅黑" w:cs="微软雅黑"/>
          <w:spacing w:val="-4"/>
          <w:sz w:val="21"/>
          <w:szCs w:val="21"/>
          <w:lang w:val="en-US" w:eastAsia="zh-CN"/>
        </w:rPr>
        <w:t>进行交流访问学习，与行业、企业高级管理者、业务主干进行深度行业交流与探讨；</w:t>
      </w:r>
    </w:p>
    <w:p w14:paraId="7FFE876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顶尖</w:t>
      </w:r>
      <w:r>
        <w:rPr>
          <w:rFonts w:hint="eastAsia" w:ascii="微软雅黑" w:hAnsi="微软雅黑" w:eastAsia="微软雅黑" w:cs="微软雅黑"/>
          <w:spacing w:val="-4"/>
          <w:sz w:val="21"/>
          <w:szCs w:val="21"/>
          <w:lang w:val="en-US"/>
        </w:rPr>
        <w:t>行业</w:t>
      </w:r>
      <w:r>
        <w:rPr>
          <w:rFonts w:hint="eastAsia" w:ascii="微软雅黑" w:hAnsi="微软雅黑" w:eastAsia="微软雅黑" w:cs="微软雅黑"/>
          <w:spacing w:val="-4"/>
          <w:sz w:val="21"/>
          <w:szCs w:val="21"/>
          <w:lang w:val="en-US" w:eastAsia="zh-CN"/>
        </w:rPr>
        <w:t>、知名企业</w:t>
      </w:r>
      <w:r>
        <w:rPr>
          <w:rFonts w:hint="eastAsia" w:ascii="微软雅黑" w:hAnsi="微软雅黑" w:eastAsia="微软雅黑" w:cs="微软雅黑"/>
          <w:spacing w:val="-4"/>
          <w:sz w:val="21"/>
          <w:szCs w:val="21"/>
          <w:lang w:val="en-US"/>
        </w:rPr>
        <w:t>特邀嘉宾、教授</w:t>
      </w:r>
      <w:r>
        <w:rPr>
          <w:rFonts w:hint="eastAsia" w:ascii="微软雅黑" w:hAnsi="微软雅黑" w:eastAsia="微软雅黑" w:cs="微软雅黑"/>
          <w:spacing w:val="-4"/>
          <w:sz w:val="21"/>
          <w:szCs w:val="21"/>
          <w:lang w:val="en-US" w:eastAsia="zh-CN"/>
        </w:rPr>
        <w:t>共同探讨领域前沿课题；</w:t>
      </w:r>
    </w:p>
    <w:p w14:paraId="364AA740">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color w:val="B72024"/>
          <w:sz w:val="20"/>
          <w:szCs w:val="20"/>
          <w:lang w:bidi="ar"/>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交叉学科</w:t>
      </w:r>
      <w:r>
        <w:rPr>
          <w:rFonts w:hint="eastAsia" w:ascii="微软雅黑" w:hAnsi="微软雅黑" w:eastAsia="微软雅黑" w:cs="微软雅黑"/>
          <w:spacing w:val="-4"/>
          <w:sz w:val="21"/>
          <w:szCs w:val="21"/>
          <w:lang w:val="en-US"/>
        </w:rPr>
        <w:t>学习</w:t>
      </w:r>
      <w:r>
        <w:rPr>
          <w:rFonts w:hint="eastAsia" w:ascii="微软雅黑" w:hAnsi="微软雅黑" w:eastAsia="微软雅黑" w:cs="微软雅黑"/>
          <w:spacing w:val="-4"/>
          <w:sz w:val="21"/>
          <w:szCs w:val="21"/>
          <w:lang w:val="en-US" w:eastAsia="zh-CN"/>
        </w:rPr>
        <w:t>，跨专业领域探讨，拓宽就业领域认知；</w:t>
      </w:r>
    </w:p>
    <w:p w14:paraId="096616C1">
      <w:pPr>
        <w:rPr>
          <w:rFonts w:hint="eastAsia" w:ascii="微软雅黑" w:hAnsi="微软雅黑" w:eastAsia="微软雅黑" w:cs="微软雅黑"/>
          <w:color w:val="000000"/>
          <w:sz w:val="20"/>
          <w:szCs w:val="20"/>
          <w:lang w:eastAsia="zh-CN" w:bidi="ar"/>
        </w:rPr>
      </w:pPr>
      <w:r>
        <w:drawing>
          <wp:inline distT="0" distB="0" distL="114300" distR="114300">
            <wp:extent cx="2538095" cy="1835785"/>
            <wp:effectExtent l="0" t="0" r="14605" b="120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lum bright="6000"/>
                    </a:blip>
                    <a:srcRect l="7208" t="14160" r="9370" b="-615"/>
                    <a:stretch>
                      <a:fillRect/>
                    </a:stretch>
                  </pic:blipFill>
                  <pic:spPr>
                    <a:xfrm>
                      <a:off x="0" y="0"/>
                      <a:ext cx="2538095" cy="1835785"/>
                    </a:xfrm>
                    <a:prstGeom prst="rect">
                      <a:avLst/>
                    </a:prstGeom>
                    <a:noFill/>
                    <a:ln>
                      <a:noFill/>
                    </a:ln>
                  </pic:spPr>
                </pic:pic>
              </a:graphicData>
            </a:graphic>
          </wp:inline>
        </w:drawing>
      </w:r>
      <w:r>
        <w:rPr>
          <w:rFonts w:hint="eastAsia" w:ascii="微软雅黑" w:hAnsi="微软雅黑" w:eastAsia="微软雅黑" w:cs="微软雅黑"/>
          <w:color w:val="B72024"/>
          <w:sz w:val="20"/>
          <w:szCs w:val="20"/>
          <w:lang w:bidi="ar"/>
        </w:rPr>
        <w:t xml:space="preserve"> </w:t>
      </w:r>
      <w:r>
        <w:rPr>
          <w:rFonts w:hint="eastAsia" w:ascii="微软雅黑" w:hAnsi="微软雅黑" w:eastAsia="微软雅黑" w:cs="微软雅黑"/>
          <w:color w:val="000000"/>
          <w:sz w:val="20"/>
          <w:szCs w:val="20"/>
          <w:lang w:eastAsia="zh-CN" w:bidi="ar"/>
        </w:rPr>
        <w:drawing>
          <wp:inline distT="0" distB="0" distL="114300" distR="114300">
            <wp:extent cx="2514600" cy="1834515"/>
            <wp:effectExtent l="0" t="0" r="0" b="13335"/>
            <wp:docPr id="22" name="图片 22" descr="生态农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生态农场1"/>
                    <pic:cNvPicPr>
                      <a:picLocks noChangeAspect="1"/>
                    </pic:cNvPicPr>
                  </pic:nvPicPr>
                  <pic:blipFill>
                    <a:blip r:embed="rId7"/>
                    <a:stretch>
                      <a:fillRect/>
                    </a:stretch>
                  </pic:blipFill>
                  <pic:spPr>
                    <a:xfrm>
                      <a:off x="0" y="0"/>
                      <a:ext cx="2514600" cy="1834515"/>
                    </a:xfrm>
                    <a:prstGeom prst="rect">
                      <a:avLst/>
                    </a:prstGeom>
                  </pic:spPr>
                </pic:pic>
              </a:graphicData>
            </a:graphic>
          </wp:inline>
        </w:drawing>
      </w:r>
    </w:p>
    <w:p w14:paraId="21B8D0A5">
      <w:pPr>
        <w:spacing w:line="360" w:lineRule="auto"/>
        <w:rPr>
          <w:rFonts w:hint="eastAsia" w:ascii="微软雅黑" w:hAnsi="微软雅黑" w:eastAsia="微软雅黑" w:cs="微软雅黑"/>
          <w:b/>
          <w:bCs/>
          <w:color w:val="auto"/>
          <w:lang w:bidi="ar"/>
        </w:rPr>
      </w:pPr>
    </w:p>
    <w:p w14:paraId="696C0676">
      <w:pPr>
        <w:spacing w:line="360" w:lineRule="auto"/>
        <w:rPr>
          <w:rFonts w:hint="eastAsia" w:ascii="微软雅黑" w:hAnsi="微软雅黑" w:eastAsia="微软雅黑" w:cs="微软雅黑"/>
          <w:color w:val="auto"/>
          <w:sz w:val="21"/>
          <w:szCs w:val="21"/>
          <w:lang w:bidi="ar"/>
        </w:rPr>
      </w:pPr>
      <w:r>
        <w:rPr>
          <w:rFonts w:hint="eastAsia" w:ascii="微软雅黑" w:hAnsi="微软雅黑" w:eastAsia="微软雅黑" w:cs="微软雅黑"/>
          <w:b/>
          <w:bCs/>
          <w:color w:val="auto"/>
          <w:lang w:bidi="ar"/>
        </w:rPr>
        <w:t>项目时长：</w:t>
      </w:r>
      <w:r>
        <w:rPr>
          <w:rFonts w:hint="eastAsia" w:ascii="微软雅黑" w:hAnsi="微软雅黑" w:eastAsia="微软雅黑" w:cs="微软雅黑"/>
          <w:color w:val="auto"/>
          <w:sz w:val="21"/>
          <w:szCs w:val="21"/>
          <w:lang w:val="en-US" w:eastAsia="zh-CN" w:bidi="ar"/>
        </w:rPr>
        <w:t>7</w:t>
      </w:r>
      <w:r>
        <w:rPr>
          <w:rFonts w:hint="eastAsia" w:ascii="微软雅黑" w:hAnsi="微软雅黑" w:eastAsia="微软雅黑" w:cs="微软雅黑"/>
          <w:color w:val="auto"/>
          <w:sz w:val="21"/>
          <w:szCs w:val="21"/>
          <w:lang w:bidi="ar"/>
        </w:rPr>
        <w:t>天</w:t>
      </w:r>
    </w:p>
    <w:p w14:paraId="50E4338A">
      <w:pPr>
        <w:spacing w:line="360" w:lineRule="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b/>
          <w:bCs/>
          <w:color w:val="auto"/>
          <w:lang w:bidi="ar"/>
        </w:rPr>
        <w:t>项目时间：</w:t>
      </w:r>
      <w:r>
        <w:rPr>
          <w:rFonts w:hint="eastAsia" w:ascii="微软雅黑" w:hAnsi="微软雅黑" w:eastAsia="微软雅黑" w:cs="微软雅黑"/>
          <w:color w:val="auto"/>
          <w:sz w:val="21"/>
          <w:szCs w:val="21"/>
          <w:lang w:val="en-US" w:eastAsia="zh-CN" w:bidi="ar"/>
        </w:rPr>
        <w:t>第一期 2026年7月19日-7月25日</w:t>
      </w:r>
    </w:p>
    <w:p w14:paraId="5888579A">
      <w:pPr>
        <w:spacing w:line="360" w:lineRule="auto"/>
        <w:ind w:firstLine="1260" w:firstLineChars="600"/>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第二期 2026年7月26日-8月1日</w:t>
      </w:r>
    </w:p>
    <w:p w14:paraId="62D01BF5">
      <w:pPr>
        <w:spacing w:line="360" w:lineRule="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（根据各高校放假时间，起止日期可能会有前后1天的调整）</w:t>
      </w:r>
    </w:p>
    <w:p w14:paraId="161EF0F2">
      <w:pPr>
        <w:spacing w:line="360" w:lineRule="auto"/>
        <w:rPr>
          <w:rFonts w:hint="eastAsia" w:ascii="微软雅黑" w:hAnsi="微软雅黑" w:eastAsia="微软雅黑" w:cs="微软雅黑"/>
          <w:color w:val="auto"/>
          <w:sz w:val="21"/>
          <w:szCs w:val="21"/>
          <w:lang w:bidi="ar"/>
        </w:rPr>
      </w:pPr>
      <w:r>
        <w:rPr>
          <w:rFonts w:hint="eastAsia" w:ascii="微软雅黑" w:hAnsi="微软雅黑" w:eastAsia="微软雅黑" w:cs="微软雅黑"/>
          <w:b/>
          <w:bCs/>
          <w:color w:val="auto"/>
          <w:lang w:bidi="ar"/>
        </w:rPr>
        <w:t>项目地点：</w:t>
      </w:r>
      <w:r>
        <w:rPr>
          <w:rFonts w:hint="eastAsia" w:ascii="微软雅黑" w:hAnsi="微软雅黑" w:eastAsia="微软雅黑" w:cs="微软雅黑"/>
          <w:color w:val="auto"/>
          <w:sz w:val="21"/>
          <w:szCs w:val="21"/>
          <w:lang w:bidi="ar"/>
        </w:rPr>
        <w:t>新加坡</w:t>
      </w:r>
    </w:p>
    <w:p w14:paraId="29A98B78">
      <w:pPr>
        <w:spacing w:line="360" w:lineRule="auto"/>
        <w:rPr>
          <w:rFonts w:hint="eastAsia" w:ascii="微软雅黑" w:hAnsi="微软雅黑" w:eastAsia="微软雅黑" w:cs="微软雅黑"/>
          <w:b/>
          <w:bCs/>
          <w:color w:val="auto"/>
          <w:lang w:eastAsia="zh-CN" w:bidi="ar"/>
        </w:rPr>
      </w:pPr>
      <w:r>
        <w:rPr>
          <w:rFonts w:hint="eastAsia" w:ascii="微软雅黑" w:hAnsi="微软雅黑" w:eastAsia="微软雅黑" w:cs="微软雅黑"/>
          <w:b/>
          <w:bCs/>
          <w:color w:val="auto"/>
          <w:lang w:bidi="ar"/>
        </w:rPr>
        <w:t>项目收获</w:t>
      </w:r>
      <w:r>
        <w:rPr>
          <w:rFonts w:hint="eastAsia" w:ascii="微软雅黑" w:hAnsi="微软雅黑" w:eastAsia="微软雅黑" w:cs="微软雅黑"/>
          <w:b/>
          <w:bCs/>
          <w:color w:val="auto"/>
          <w:lang w:eastAsia="zh-CN" w:bidi="ar"/>
        </w:rPr>
        <w:t>：</w:t>
      </w:r>
    </w:p>
    <w:p w14:paraId="47AD8000">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开拓国际视野、提升跨文化沟通能力、提升英语沟通及应用能力、项目证书、推荐信、体验国际知名企业的真实工作环境、流程、氛围；建立对未来择业、择校的初步规划。</w:t>
      </w:r>
    </w:p>
    <w:p w14:paraId="57E85B16">
      <w:pPr>
        <w:spacing w:line="36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bidi="ar"/>
        </w:rPr>
        <w:t>证书收获：</w:t>
      </w:r>
    </w:p>
    <w:p w14:paraId="216B07BC">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lang w:val="en-US" w:eastAsia="zh-CN"/>
        </w:rPr>
      </w:pPr>
      <w:r>
        <w:rPr>
          <w:rFonts w:hint="eastAsia" w:ascii="微软雅黑" w:hAnsi="微软雅黑" w:eastAsia="微软雅黑" w:cs="微软雅黑"/>
          <w:i w:val="0"/>
          <w:iCs w:val="0"/>
          <w:snapToGrid w:val="0"/>
          <w:color w:val="000000"/>
          <w:kern w:val="0"/>
          <w:sz w:val="22"/>
          <w:szCs w:val="22"/>
          <w:u w:val="none"/>
          <w:lang w:val="en-US" w:eastAsia="zh-CN" w:bidi="ar"/>
        </w:rPr>
        <w:t>SUSS (Singapore University of Social Sciences) 结课证书、Reference letter (SUSS)</w:t>
      </w:r>
    </w:p>
    <w:p w14:paraId="3099E7E4">
      <w:pPr>
        <w:rPr>
          <w:rFonts w:hint="default" w:eastAsia="宋体"/>
          <w:lang w:val="en-US" w:eastAsia="zh-CN"/>
        </w:rPr>
      </w:pPr>
      <w:r>
        <w:rPr>
          <w:rFonts w:hint="eastAsia"/>
          <w:lang w:val="en-US" w:eastAsia="zh-CN"/>
        </w:rPr>
        <w:t xml:space="preserve">       </w:t>
      </w:r>
      <w:r>
        <w:rPr>
          <w:rFonts w:hint="eastAsia"/>
          <w:lang w:val="en-US" w:eastAsia="zh-CN"/>
        </w:rPr>
        <w:drawing>
          <wp:inline distT="0" distB="0" distL="114300" distR="114300">
            <wp:extent cx="1737360" cy="2462530"/>
            <wp:effectExtent l="57150" t="57150" r="72390" b="71120"/>
            <wp:docPr id="15" name="图片 15" descr="871fffbea322bc2c26e3915fc215b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71fffbea322bc2c26e3915fc215bc1c"/>
                    <pic:cNvPicPr>
                      <a:picLocks noChangeAspect="1"/>
                    </pic:cNvPicPr>
                  </pic:nvPicPr>
                  <pic:blipFill>
                    <a:blip r:embed="rId8"/>
                    <a:stretch>
                      <a:fillRect/>
                    </a:stretch>
                  </pic:blipFill>
                  <pic:spPr>
                    <a:xfrm>
                      <a:off x="0" y="0"/>
                      <a:ext cx="1737360" cy="2462530"/>
                    </a:xfrm>
                    <a:prstGeom prst="rect">
                      <a:avLst/>
                    </a:prstGeom>
                    <a:ln w="57150">
                      <a:gradFill>
                        <a:gsLst>
                          <a:gs pos="0">
                            <a:srgbClr val="DCAE61"/>
                          </a:gs>
                          <a:gs pos="100000">
                            <a:srgbClr val="874526"/>
                          </a:gs>
                        </a:gsLst>
                        <a:path path="circle">
                          <a:fillToRect r="100000" b="100000"/>
                        </a:path>
                        <a:tileRect l="-100000" t="-100000"/>
                      </a:grad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46885" cy="2469515"/>
            <wp:effectExtent l="57150" t="57150" r="62865" b="64135"/>
            <wp:docPr id="19" name="图片 19" descr="f3281e8fae94bd39ec40e5a16fdd3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3281e8fae94bd39ec40e5a16fdd3adc"/>
                    <pic:cNvPicPr>
                      <a:picLocks noChangeAspect="1"/>
                    </pic:cNvPicPr>
                  </pic:nvPicPr>
                  <pic:blipFill>
                    <a:blip r:embed="rId9"/>
                    <a:stretch>
                      <a:fillRect/>
                    </a:stretch>
                  </pic:blipFill>
                  <pic:spPr>
                    <a:xfrm>
                      <a:off x="0" y="0"/>
                      <a:ext cx="1746885" cy="2469515"/>
                    </a:xfrm>
                    <a:prstGeom prst="rect">
                      <a:avLst/>
                    </a:prstGeom>
                    <a:ln w="57150">
                      <a:gradFill>
                        <a:gsLst>
                          <a:gs pos="0">
                            <a:srgbClr val="DCAE61"/>
                          </a:gs>
                          <a:gs pos="100000">
                            <a:srgbClr val="874526"/>
                          </a:gs>
                        </a:gsLst>
                        <a:path path="circle">
                          <a:fillToRect r="100000" b="100000"/>
                        </a:path>
                        <a:tileRect l="-100000" t="-100000"/>
                      </a:gradFill>
                    </a:ln>
                  </pic:spPr>
                </pic:pic>
              </a:graphicData>
            </a:graphic>
          </wp:inline>
        </w:drawing>
      </w:r>
      <w:r>
        <w:rPr>
          <w:rFonts w:hint="eastAsia"/>
          <w:lang w:val="en-US" w:eastAsia="zh-CN"/>
        </w:rPr>
        <w:t xml:space="preserve"> </w:t>
      </w:r>
    </w:p>
    <w:p w14:paraId="2B3A64C8">
      <w:pPr>
        <w:rPr>
          <w:rFonts w:hint="default"/>
          <w:lang w:val="en-US"/>
        </w:rPr>
      </w:pPr>
      <w:r>
        <w:rPr>
          <w:rFonts w:hint="eastAsia" w:ascii="微软雅黑" w:hAnsi="微软雅黑" w:eastAsia="微软雅黑" w:cs="微软雅黑"/>
          <w:b/>
          <w:bCs/>
          <w:color w:val="auto"/>
          <w:lang w:val="en-US" w:eastAsia="zh-CN" w:bidi="ar"/>
        </w:rPr>
        <w:t>团组人数：</w:t>
      </w:r>
      <w:r>
        <w:rPr>
          <w:rFonts w:hint="eastAsia" w:ascii="微软雅黑" w:hAnsi="微软雅黑" w:eastAsia="微软雅黑" w:cs="微软雅黑"/>
          <w:b w:val="0"/>
          <w:bCs w:val="0"/>
          <w:color w:val="auto"/>
          <w:sz w:val="21"/>
          <w:szCs w:val="21"/>
          <w:lang w:val="en-US" w:eastAsia="zh-CN" w:bidi="ar"/>
        </w:rPr>
        <w:t>40人左右</w:t>
      </w:r>
    </w:p>
    <w:p w14:paraId="78148DAB">
      <w:pPr>
        <w:rPr>
          <w:rFonts w:hint="eastAsia"/>
          <w:lang w:val="en-US" w:eastAsia="zh-CN"/>
        </w:rPr>
      </w:pPr>
      <w:r>
        <w:rPr>
          <w:rFonts w:hint="eastAsia" w:ascii="微软雅黑" w:hAnsi="微软雅黑" w:eastAsia="微软雅黑" w:cs="微软雅黑"/>
          <w:b/>
          <w:bCs/>
        </w:rPr>
        <w:t>项目费用：</w:t>
      </w:r>
      <w:r>
        <w:rPr>
          <w:rFonts w:hint="eastAsia" w:ascii="微软雅黑" w:hAnsi="微软雅黑" w:eastAsia="微软雅黑" w:cs="微软雅黑"/>
          <w:sz w:val="21"/>
          <w:szCs w:val="21"/>
          <w:lang w:val="en-US" w:eastAsia="zh-CN"/>
        </w:rPr>
        <w:t>9,800元人民币/人</w:t>
      </w:r>
    </w:p>
    <w:p w14:paraId="3C52852E">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szCs w:val="24"/>
          <w:lang w:val="en-US" w:eastAsia="zh-CN"/>
        </w:rPr>
        <w:t>费用包含：</w:t>
      </w:r>
      <w:r>
        <w:rPr>
          <w:rFonts w:hint="eastAsia" w:ascii="微软雅黑" w:hAnsi="微软雅黑" w:eastAsia="微软雅黑" w:cs="微软雅黑"/>
          <w:sz w:val="21"/>
          <w:szCs w:val="21"/>
          <w:lang w:val="en-US" w:eastAsia="zh-CN"/>
        </w:rPr>
        <w:t>项目期间住宿费用（含早餐）、课程及嘉宾讲座费用、统一行程内的交通费、保险费（医疗保险与意外伤害保险）、企业参访费、场地、教材、统一行程内文化体验导览费用等。</w:t>
      </w:r>
    </w:p>
    <w:p w14:paraId="59F9F811">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szCs w:val="24"/>
          <w:lang w:val="en-US" w:eastAsia="zh-CN"/>
        </w:rPr>
        <w:t>费用不含：</w:t>
      </w:r>
      <w:r>
        <w:rPr>
          <w:rFonts w:hint="eastAsia" w:ascii="微软雅黑" w:hAnsi="微软雅黑" w:eastAsia="微软雅黑" w:cs="微软雅黑"/>
          <w:sz w:val="21"/>
          <w:szCs w:val="21"/>
          <w:lang w:val="en-US" w:eastAsia="zh-CN"/>
        </w:rPr>
        <w:t>中新往返机票费用、护照费用、午晚餐费用、项目期间因个人需求消费产生的所有费用。</w:t>
      </w:r>
    </w:p>
    <w:p w14:paraId="0A7AB59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p>
    <w:p w14:paraId="06AD93F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p>
    <w:p w14:paraId="212CF964">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spacing w:val="-2"/>
          <w:sz w:val="24"/>
          <w:szCs w:val="24"/>
          <w:lang w:eastAsia="zh-CN"/>
          <w14:textOutline w14:w="4356" w14:cap="flat" w14:cmpd="sng">
            <w14:solidFill>
              <w14:srgbClr w14:val="000000"/>
            </w14:solidFill>
            <w14:prstDash w14:val="solid"/>
            <w14:miter w14:val="0"/>
          </w14:textOutline>
        </w:rPr>
      </w:pPr>
      <w:r>
        <w:rPr>
          <w:rFonts w:hint="eastAsia" w:ascii="微软雅黑" w:hAnsi="微软雅黑" w:eastAsia="微软雅黑" w:cs="微软雅黑"/>
          <w:spacing w:val="-2"/>
          <w:sz w:val="24"/>
          <w:szCs w:val="24"/>
          <w14:textOutline w14:w="4356" w14:cap="flat" w14:cmpd="sng">
            <w14:solidFill>
              <w14:srgbClr w14:val="000000"/>
            </w14:solidFill>
            <w14:prstDash w14:val="solid"/>
            <w14:miter w14:val="0"/>
          </w14:textOutline>
        </w:rPr>
        <w:t>报名</w:t>
      </w:r>
      <w:r>
        <w:rPr>
          <w:rFonts w:hint="eastAsia" w:ascii="微软雅黑" w:hAnsi="微软雅黑" w:eastAsia="微软雅黑" w:cs="微软雅黑"/>
          <w:spacing w:val="-2"/>
          <w:sz w:val="24"/>
          <w:szCs w:val="24"/>
          <w:lang w:val="en-US" w:eastAsia="zh-CN"/>
          <w14:textOutline w14:w="4356" w14:cap="flat" w14:cmpd="sng">
            <w14:solidFill>
              <w14:srgbClr w14:val="000000"/>
            </w14:solidFill>
            <w14:prstDash w14:val="solid"/>
            <w14:miter w14:val="0"/>
          </w14:textOutline>
        </w:rPr>
        <w:t>要求：</w:t>
      </w:r>
    </w:p>
    <w:p w14:paraId="139A80D4">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right="0" w:rightChars="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拥护中国共产党领导、热爱祖国、政治立场坚定、品德优良、身心健康，具备在新加坡进行独立学习及生活能力的全日制在校</w:t>
      </w:r>
      <w:r>
        <w:rPr>
          <w:rFonts w:hint="eastAsia" w:ascii="微软雅黑" w:hAnsi="微软雅黑" w:eastAsia="微软雅黑" w:cs="微软雅黑"/>
          <w:color w:val="000000"/>
          <w:kern w:val="0"/>
          <w:sz w:val="21"/>
          <w:szCs w:val="21"/>
          <w:lang w:val="en-US" w:eastAsia="zh-CN" w:bidi="ar"/>
        </w:rPr>
        <w:t>学</w:t>
      </w:r>
      <w:r>
        <w:rPr>
          <w:rFonts w:hint="default" w:ascii="微软雅黑" w:hAnsi="微软雅黑" w:eastAsia="微软雅黑" w:cs="微软雅黑"/>
          <w:color w:val="000000"/>
          <w:kern w:val="0"/>
          <w:sz w:val="21"/>
          <w:szCs w:val="21"/>
          <w:lang w:val="en-US" w:eastAsia="en-US" w:bidi="ar"/>
        </w:rPr>
        <w:t>生，专业不限；</w:t>
      </w:r>
    </w:p>
    <w:p w14:paraId="6658C64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学习成绩优良，综合素质较高，无不良嗜好；</w:t>
      </w:r>
    </w:p>
    <w:p w14:paraId="2BB55785">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对新加坡知名企业文化感兴趣；</w:t>
      </w:r>
    </w:p>
    <w:p w14:paraId="31E20CC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具备相应的经济能力，能承担在新加坡学习、生活的相关费用；</w:t>
      </w:r>
    </w:p>
    <w:p w14:paraId="2231232C">
      <w:pPr>
        <w:keepNext w:val="0"/>
        <w:keepLines w:val="0"/>
        <w:pageBreakBefore w:val="0"/>
        <w:widowControl/>
        <w:numPr>
          <w:ilvl w:val="0"/>
          <w:numId w:val="1"/>
        </w:numPr>
        <w:suppressLineNumbers w:val="0"/>
        <w:wordWrap/>
        <w:overflowPunct/>
        <w:topLinePunct w:val="0"/>
        <w:bidi w:val="0"/>
        <w:spacing w:line="480" w:lineRule="exact"/>
        <w:ind w:left="0" w:leftChars="0" w:firstLine="420" w:firstLineChars="200"/>
        <w:jc w:val="left"/>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学生在项目期间需严格遵守当地法律法规和参访企业规章制度，自觉维护国家利益、民族尊严和学校荣誉。</w:t>
      </w:r>
    </w:p>
    <w:p w14:paraId="70F0AC4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9251C0B">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5E4297CB">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72A9B2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332C2B"/>
          <w:sz w:val="21"/>
          <w:szCs w:val="21"/>
          <w:lang w:bidi="ar"/>
        </w:rPr>
      </w:pPr>
      <w:r>
        <w:rPr>
          <w:rFonts w:hint="eastAsia" w:ascii="微软雅黑" w:hAnsi="微软雅黑" w:eastAsia="微软雅黑" w:cs="微软雅黑"/>
          <w:b/>
          <w:bCs/>
          <w:color w:val="auto"/>
          <w:lang w:bidi="ar"/>
        </w:rPr>
        <w:t>行程</w:t>
      </w:r>
      <w:r>
        <w:rPr>
          <w:rFonts w:hint="eastAsia" w:ascii="微软雅黑" w:hAnsi="微软雅黑" w:eastAsia="微软雅黑" w:cs="微软雅黑"/>
          <w:b/>
          <w:bCs/>
          <w:color w:val="auto"/>
          <w:lang w:val="en-US" w:eastAsia="zh-CN" w:bidi="ar"/>
        </w:rPr>
        <w:t>示例：</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sz w:val="21"/>
          <w:szCs w:val="21"/>
        </w:rPr>
        <w:t>因受</w:t>
      </w:r>
      <w:r>
        <w:rPr>
          <w:rFonts w:hint="eastAsia" w:ascii="微软雅黑" w:hAnsi="微软雅黑" w:eastAsia="微软雅黑" w:cs="微软雅黑"/>
          <w:sz w:val="21"/>
          <w:szCs w:val="21"/>
          <w:lang w:val="en-US" w:eastAsia="zh-CN"/>
        </w:rPr>
        <w:t>企业生产任务</w:t>
      </w:r>
      <w:r>
        <w:rPr>
          <w:rFonts w:hint="eastAsia" w:ascii="微软雅黑" w:hAnsi="微软雅黑" w:eastAsia="微软雅黑" w:cs="微软雅黑"/>
          <w:sz w:val="21"/>
          <w:szCs w:val="21"/>
        </w:rPr>
        <w:t>、接待</w:t>
      </w:r>
      <w:r>
        <w:rPr>
          <w:rFonts w:hint="eastAsia" w:ascii="微软雅黑" w:hAnsi="微软雅黑" w:eastAsia="微软雅黑" w:cs="微软雅黑"/>
          <w:sz w:val="21"/>
          <w:szCs w:val="21"/>
          <w:lang w:val="en-US" w:eastAsia="zh-CN"/>
        </w:rPr>
        <w:t>安排</w:t>
      </w:r>
      <w:r>
        <w:rPr>
          <w:rFonts w:hint="eastAsia" w:ascii="微软雅黑" w:hAnsi="微软雅黑" w:eastAsia="微软雅黑" w:cs="微软雅黑"/>
          <w:sz w:val="21"/>
          <w:szCs w:val="21"/>
        </w:rPr>
        <w:t>等客观因素影响，部分参访企业和分享嘉宾可能会出现调整或变动，但不会减少参访企业的数量和降低参访企业的质量及分享嘉宾的资质</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bidi="ar"/>
        </w:rPr>
        <w:t>行程以最终版本为主）</w:t>
      </w:r>
    </w:p>
    <w:p w14:paraId="5A2D44A8">
      <w:pPr>
        <w:rPr>
          <w:rFonts w:hint="eastAsia"/>
          <w:lang w:val="en-US" w:eastAsia="zh-CN"/>
        </w:rPr>
      </w:pPr>
    </w:p>
    <w:tbl>
      <w:tblPr>
        <w:tblStyle w:val="7"/>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740"/>
        <w:gridCol w:w="1830"/>
        <w:gridCol w:w="4548"/>
      </w:tblGrid>
      <w:tr w14:paraId="0CFD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5" w:type="dxa"/>
            <w:gridSpan w:val="4"/>
            <w:vAlign w:val="center"/>
          </w:tcPr>
          <w:p w14:paraId="207B1AE6">
            <w:pPr>
              <w:widowControl w:val="0"/>
              <w:jc w:val="center"/>
              <w:rPr>
                <w:rFonts w:hint="default" w:ascii="微软雅黑" w:hAnsi="微软雅黑" w:eastAsia="微软雅黑" w:cs="微软雅黑"/>
                <w:b/>
                <w:color w:val="000000"/>
                <w:sz w:val="28"/>
                <w:szCs w:val="28"/>
                <w:lang w:val="en-US" w:bidi="ar"/>
              </w:rPr>
            </w:pPr>
            <w:r>
              <w:rPr>
                <w:rFonts w:hint="eastAsia" w:ascii="微软雅黑" w:hAnsi="微软雅黑" w:eastAsia="微软雅黑" w:cs="微软雅黑"/>
                <w:b/>
                <w:bCs/>
                <w:i w:val="0"/>
                <w:iCs w:val="0"/>
                <w:snapToGrid w:val="0"/>
                <w:color w:val="000000"/>
                <w:kern w:val="0"/>
                <w:sz w:val="24"/>
                <w:szCs w:val="24"/>
                <w:u w:val="none"/>
                <w:lang w:val="en-US" w:eastAsia="zh-CN" w:bidi="ar"/>
              </w:rPr>
              <w:t>2026年暑假新加坡名校海外创新创业实训项目</w:t>
            </w:r>
            <w:r>
              <w:rPr>
                <w:rFonts w:hint="eastAsia" w:ascii="微软雅黑" w:hAnsi="微软雅黑" w:eastAsia="微软雅黑" w:cs="微软雅黑"/>
                <w:b/>
                <w:bCs/>
                <w:color w:val="000000"/>
                <w:sz w:val="24"/>
                <w:szCs w:val="24"/>
                <w:lang w:val="en-US" w:eastAsia="zh-CN" w:bidi="ar"/>
              </w:rPr>
              <w:t>行程示例（7天）</w:t>
            </w:r>
          </w:p>
        </w:tc>
      </w:tr>
      <w:tr w14:paraId="106C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17" w:type="dxa"/>
            <w:vAlign w:val="center"/>
          </w:tcPr>
          <w:p w14:paraId="180D3772">
            <w:pPr>
              <w:widowControl w:val="0"/>
              <w:jc w:val="center"/>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000000"/>
                <w:lang w:bidi="ar"/>
              </w:rPr>
              <w:t>日期</w:t>
            </w:r>
          </w:p>
        </w:tc>
        <w:tc>
          <w:tcPr>
            <w:tcW w:w="1740" w:type="dxa"/>
            <w:vAlign w:val="center"/>
          </w:tcPr>
          <w:p w14:paraId="3D81BB78">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企业名称</w:t>
            </w:r>
          </w:p>
        </w:tc>
        <w:tc>
          <w:tcPr>
            <w:tcW w:w="1830" w:type="dxa"/>
            <w:vAlign w:val="center"/>
          </w:tcPr>
          <w:p w14:paraId="6EB8EEE5">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参访学习导师</w:t>
            </w:r>
          </w:p>
        </w:tc>
        <w:tc>
          <w:tcPr>
            <w:tcW w:w="4548" w:type="dxa"/>
            <w:vAlign w:val="center"/>
          </w:tcPr>
          <w:p w14:paraId="1FB2056A">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参访学习主题</w:t>
            </w:r>
          </w:p>
        </w:tc>
      </w:tr>
      <w:tr w14:paraId="0AA4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17" w:type="dxa"/>
            <w:vAlign w:val="center"/>
          </w:tcPr>
          <w:p w14:paraId="42A197C1">
            <w:pPr>
              <w:widowControl w:val="0"/>
              <w:spacing w:line="240" w:lineRule="auto"/>
              <w:jc w:val="center"/>
              <w:textAlignment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第1天</w:t>
            </w:r>
          </w:p>
        </w:tc>
        <w:tc>
          <w:tcPr>
            <w:tcW w:w="8118" w:type="dxa"/>
            <w:gridSpan w:val="3"/>
            <w:vAlign w:val="center"/>
          </w:tcPr>
          <w:p w14:paraId="743D660D">
            <w:pPr>
              <w:widowControl w:val="0"/>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出发赴新加坡，抵达新加坡</w:t>
            </w:r>
          </w:p>
        </w:tc>
      </w:tr>
      <w:tr w14:paraId="1701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017" w:type="dxa"/>
            <w:vMerge w:val="restart"/>
            <w:vAlign w:val="center"/>
          </w:tcPr>
          <w:p w14:paraId="2600F2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天</w:t>
            </w:r>
          </w:p>
        </w:tc>
        <w:tc>
          <w:tcPr>
            <w:tcW w:w="1740" w:type="dxa"/>
            <w:vAlign w:val="center"/>
          </w:tcPr>
          <w:p w14:paraId="640BB5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创新创业课程</w:t>
            </w:r>
          </w:p>
        </w:tc>
        <w:tc>
          <w:tcPr>
            <w:tcW w:w="1830" w:type="dxa"/>
            <w:vAlign w:val="center"/>
          </w:tcPr>
          <w:p w14:paraId="29255E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Performance Capital创始人</w:t>
            </w:r>
          </w:p>
          <w:p w14:paraId="467BF6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default" w:ascii="微软雅黑" w:hAnsi="微软雅黑" w:eastAsia="微软雅黑" w:cs="微软雅黑"/>
                <w:sz w:val="21"/>
                <w:szCs w:val="21"/>
                <w:vertAlign w:val="baseline"/>
                <w:lang w:val="en-US" w:eastAsia="zh-CN"/>
              </w:rPr>
              <w:t>——Mr. Jason Ho</w:t>
            </w:r>
          </w:p>
        </w:tc>
        <w:tc>
          <w:tcPr>
            <w:tcW w:w="4548" w:type="dxa"/>
            <w:vAlign w:val="center"/>
          </w:tcPr>
          <w:p w14:paraId="093271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sz w:val="21"/>
                <w:szCs w:val="21"/>
                <w:vertAlign w:val="baseline"/>
              </w:rPr>
              <w:t>课程主题（一）：创业心态简介（实战篇）</w:t>
            </w:r>
          </w:p>
          <w:p w14:paraId="2C27FC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Topic：Introduction to Entrepreneurship Mindset </w:t>
            </w:r>
          </w:p>
          <w:p w14:paraId="0232EA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lang w:val="en-US" w:eastAsia="zh-CN"/>
              </w:rPr>
              <w:t>参与者将了解创业、成功的基础以及创业心态的基本概念。</w:t>
            </w:r>
          </w:p>
        </w:tc>
      </w:tr>
      <w:tr w14:paraId="5B49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1017" w:type="dxa"/>
            <w:vMerge w:val="continue"/>
            <w:vAlign w:val="center"/>
          </w:tcPr>
          <w:p w14:paraId="324EEB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vAlign w:val="center"/>
          </w:tcPr>
          <w:p w14:paraId="07FB1C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生态农场</w:t>
            </w:r>
          </w:p>
          <w:p w14:paraId="10741D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lang w:val="en-US" w:eastAsia="zh-CN"/>
              </w:rPr>
              <w:t>参访</w:t>
            </w:r>
          </w:p>
        </w:tc>
        <w:tc>
          <w:tcPr>
            <w:tcW w:w="1830" w:type="dxa"/>
            <w:vAlign w:val="center"/>
          </w:tcPr>
          <w:p w14:paraId="194894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Nutrious Farms</w:t>
            </w:r>
          </w:p>
          <w:p w14:paraId="41C927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创始人</w:t>
            </w:r>
          </w:p>
          <w:p w14:paraId="038E6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color w:val="000000"/>
                <w:sz w:val="21"/>
                <w:szCs w:val="21"/>
                <w:lang w:val="en-US" w:eastAsia="zh-CN"/>
              </w:rPr>
              <w:t>——Damien Lam</w:t>
            </w:r>
          </w:p>
        </w:tc>
        <w:tc>
          <w:tcPr>
            <w:tcW w:w="4548" w:type="dxa"/>
            <w:vAlign w:val="center"/>
          </w:tcPr>
          <w:p w14:paraId="0034BB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eastAsia="zh-CN"/>
              </w:rPr>
              <w:t>政企参访（一）：现代农场</w:t>
            </w:r>
          </w:p>
          <w:p w14:paraId="2617D1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Visit：Urban Farm</w:t>
            </w:r>
          </w:p>
          <w:p w14:paraId="739D59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lang w:val="en-US" w:eastAsia="zh-CN"/>
              </w:rPr>
              <w:t>学生示范性项目—SUSS现代农场及食品安全的创新发展</w:t>
            </w:r>
          </w:p>
        </w:tc>
      </w:tr>
      <w:tr w14:paraId="4F7C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1017" w:type="dxa"/>
            <w:vMerge w:val="restart"/>
            <w:vAlign w:val="center"/>
          </w:tcPr>
          <w:p w14:paraId="1DF1E5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天</w:t>
            </w:r>
          </w:p>
        </w:tc>
        <w:tc>
          <w:tcPr>
            <w:tcW w:w="1740" w:type="dxa"/>
            <w:vAlign w:val="center"/>
          </w:tcPr>
          <w:p w14:paraId="13BE1A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博弈论课程</w:t>
            </w:r>
          </w:p>
        </w:tc>
        <w:tc>
          <w:tcPr>
            <w:tcW w:w="1830" w:type="dxa"/>
            <w:vAlign w:val="center"/>
          </w:tcPr>
          <w:p w14:paraId="6FB2DE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SUSS高级讲师</w:t>
            </w:r>
          </w:p>
          <w:p w14:paraId="33C570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 xml:space="preserve">—Dr Xu Weibiao </w:t>
            </w:r>
          </w:p>
        </w:tc>
        <w:tc>
          <w:tcPr>
            <w:tcW w:w="4548" w:type="dxa"/>
            <w:vAlign w:val="center"/>
          </w:tcPr>
          <w:p w14:paraId="4F2A37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snapToGrid w:val="0"/>
                <w:color w:val="000000"/>
                <w:kern w:val="0"/>
                <w:sz w:val="21"/>
                <w:szCs w:val="21"/>
                <w:u w:val="none"/>
                <w:lang w:val="en-US" w:eastAsia="zh-CN" w:bidi="ar"/>
              </w:rPr>
            </w:pPr>
            <w:r>
              <w:rPr>
                <w:rFonts w:hint="eastAsia" w:ascii="微软雅黑" w:hAnsi="微软雅黑" w:eastAsia="微软雅黑" w:cs="微软雅黑"/>
                <w:b/>
                <w:bCs/>
                <w:i w:val="0"/>
                <w:iCs w:val="0"/>
                <w:snapToGrid w:val="0"/>
                <w:color w:val="000000"/>
                <w:kern w:val="0"/>
                <w:sz w:val="21"/>
                <w:szCs w:val="21"/>
                <w:u w:val="none"/>
                <w:lang w:val="en-US" w:eastAsia="zh-CN" w:bidi="ar"/>
              </w:rPr>
              <w:t>课程主题（二）：博弈论</w:t>
            </w:r>
          </w:p>
          <w:p w14:paraId="418048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Topic：Game theory</w:t>
            </w:r>
          </w:p>
          <w:p w14:paraId="05DFB0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lang w:val="en-US" w:eastAsia="zh-CN"/>
              </w:rPr>
              <w:t>参与者将学习博弈论的基本模式，培养基本的商业思维意识。</w:t>
            </w:r>
          </w:p>
        </w:tc>
      </w:tr>
      <w:tr w14:paraId="69F3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1017" w:type="dxa"/>
            <w:vMerge w:val="continue"/>
            <w:vAlign w:val="center"/>
          </w:tcPr>
          <w:p w14:paraId="6D5235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0B281E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URA</w:t>
            </w:r>
            <w:r>
              <w:rPr>
                <w:rFonts w:hint="eastAsia" w:ascii="微软雅黑" w:hAnsi="微软雅黑" w:eastAsia="微软雅黑" w:cs="微软雅黑"/>
                <w:color w:val="000000"/>
                <w:sz w:val="21"/>
                <w:szCs w:val="21"/>
              </w:rPr>
              <w:t>参访</w:t>
            </w:r>
          </w:p>
        </w:tc>
        <w:tc>
          <w:tcPr>
            <w:tcW w:w="1830" w:type="dxa"/>
            <w:shd w:val="clear" w:color="auto" w:fill="auto"/>
            <w:vAlign w:val="center"/>
          </w:tcPr>
          <w:p w14:paraId="4475AB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URA</w:t>
            </w:r>
            <w:r>
              <w:rPr>
                <w:rFonts w:hint="eastAsia" w:ascii="微软雅黑" w:hAnsi="微软雅黑" w:eastAsia="微软雅黑" w:cs="微软雅黑"/>
                <w:color w:val="000000"/>
                <w:sz w:val="21"/>
                <w:szCs w:val="21"/>
              </w:rPr>
              <w:t>工作人员</w:t>
            </w:r>
          </w:p>
        </w:tc>
        <w:tc>
          <w:tcPr>
            <w:tcW w:w="4548" w:type="dxa"/>
            <w:shd w:val="clear" w:color="auto" w:fill="auto"/>
            <w:vAlign w:val="center"/>
          </w:tcPr>
          <w:p w14:paraId="27E95E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政企参访（二）：市区重建局</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 xml:space="preserve">Visit：URA </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市区重建局(URA)是新加坡政府下属的法定机构，负责领导新加坡的城市规划、发展和保护工作。城市展览馆一共有三个楼层的展览空间，来展现新加坡的过去，现在和未来。</w:t>
            </w:r>
          </w:p>
        </w:tc>
      </w:tr>
      <w:tr w14:paraId="4DA5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jc w:val="center"/>
        </w:trPr>
        <w:tc>
          <w:tcPr>
            <w:tcW w:w="1017" w:type="dxa"/>
            <w:vMerge w:val="restart"/>
            <w:vAlign w:val="center"/>
          </w:tcPr>
          <w:p w14:paraId="7348CB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第4天</w:t>
            </w:r>
          </w:p>
        </w:tc>
        <w:tc>
          <w:tcPr>
            <w:tcW w:w="1740" w:type="dxa"/>
            <w:shd w:val="clear" w:color="auto" w:fill="auto"/>
            <w:vAlign w:val="center"/>
          </w:tcPr>
          <w:p w14:paraId="54AF34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default" w:ascii="微软雅黑" w:hAnsi="微软雅黑" w:eastAsia="微软雅黑" w:cs="微软雅黑"/>
                <w:i w:val="0"/>
                <w:iCs w:val="0"/>
                <w:color w:val="000000"/>
                <w:sz w:val="21"/>
                <w:szCs w:val="21"/>
                <w:u w:val="none"/>
                <w:lang w:val="en-US" w:eastAsia="zh-CN" w:bidi="ar-SA"/>
              </w:rPr>
              <w:t>互联网产品课程</w:t>
            </w:r>
          </w:p>
        </w:tc>
        <w:tc>
          <w:tcPr>
            <w:tcW w:w="1830" w:type="dxa"/>
            <w:shd w:val="clear" w:color="auto" w:fill="auto"/>
            <w:vAlign w:val="center"/>
          </w:tcPr>
          <w:p w14:paraId="002052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谷歌亚太区信任与安全项目管理负责人</w:t>
            </w:r>
          </w:p>
          <w:p w14:paraId="70F0B5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——Julia Li</w:t>
            </w:r>
          </w:p>
        </w:tc>
        <w:tc>
          <w:tcPr>
            <w:tcW w:w="4548" w:type="dxa"/>
            <w:shd w:val="clear" w:color="auto" w:fill="auto"/>
            <w:vAlign w:val="center"/>
          </w:tcPr>
          <w:p w14:paraId="3750DD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kern w:val="0"/>
                <w:sz w:val="21"/>
                <w:szCs w:val="21"/>
              </w:rPr>
              <w:t>课程主题（</w:t>
            </w:r>
            <w:r>
              <w:rPr>
                <w:rFonts w:hint="eastAsia" w:ascii="微软雅黑" w:hAnsi="微软雅黑" w:eastAsia="微软雅黑" w:cs="微软雅黑"/>
                <w:b/>
                <w:bCs/>
                <w:i w:val="0"/>
                <w:iCs w:val="0"/>
                <w:color w:val="000000"/>
                <w:kern w:val="0"/>
                <w:sz w:val="21"/>
                <w:szCs w:val="21"/>
                <w:lang w:val="en-US" w:eastAsia="zh-CN"/>
              </w:rPr>
              <w:t>三</w:t>
            </w:r>
            <w:r>
              <w:rPr>
                <w:rFonts w:hint="eastAsia" w:ascii="微软雅黑" w:hAnsi="微软雅黑" w:eastAsia="微软雅黑" w:cs="微软雅黑"/>
                <w:b/>
                <w:bCs/>
                <w:i w:val="0"/>
                <w:iCs w:val="0"/>
                <w:color w:val="000000"/>
                <w:kern w:val="0"/>
                <w:sz w:val="21"/>
                <w:szCs w:val="21"/>
              </w:rPr>
              <w:t>）：AI应用前景与未来就业</w:t>
            </w:r>
            <w:r>
              <w:rPr>
                <w:rFonts w:hint="eastAsia" w:ascii="微软雅黑" w:hAnsi="微软雅黑" w:eastAsia="微软雅黑" w:cs="微软雅黑"/>
                <w:i w:val="0"/>
                <w:iCs w:val="0"/>
                <w:color w:val="000000"/>
                <w:kern w:val="0"/>
                <w:sz w:val="21"/>
                <w:szCs w:val="21"/>
              </w:rPr>
              <w:br w:type="textWrapping"/>
            </w:r>
            <w:r>
              <w:rPr>
                <w:rFonts w:hint="eastAsia" w:ascii="微软雅黑" w:hAnsi="微软雅黑" w:eastAsia="微软雅黑" w:cs="微软雅黑"/>
                <w:i w:val="0"/>
                <w:iCs w:val="0"/>
                <w:color w:val="000000"/>
                <w:kern w:val="0"/>
                <w:sz w:val="21"/>
                <w:szCs w:val="21"/>
              </w:rPr>
              <w:t>Topic：AI application and future career</w:t>
            </w:r>
            <w:r>
              <w:rPr>
                <w:rFonts w:hint="eastAsia" w:ascii="微软雅黑" w:hAnsi="微软雅黑" w:eastAsia="微软雅黑" w:cs="微软雅黑"/>
                <w:i w:val="0"/>
                <w:iCs w:val="0"/>
                <w:color w:val="000000"/>
                <w:kern w:val="0"/>
                <w:sz w:val="21"/>
                <w:szCs w:val="21"/>
              </w:rPr>
              <w:br w:type="textWrapping"/>
            </w:r>
            <w:r>
              <w:rPr>
                <w:rFonts w:hint="eastAsia" w:ascii="微软雅黑" w:hAnsi="微软雅黑" w:eastAsia="微软雅黑" w:cs="微软雅黑"/>
                <w:i w:val="0"/>
                <w:iCs w:val="0"/>
                <w:color w:val="000000"/>
                <w:kern w:val="0"/>
                <w:sz w:val="21"/>
                <w:szCs w:val="21"/>
              </w:rPr>
              <w:t>参与者将了解当前AI技术的发展，应用，以及对未来就业的影响，从而对该技术有更深入的了解和理性思考。</w:t>
            </w:r>
          </w:p>
        </w:tc>
      </w:tr>
      <w:tr w14:paraId="29E7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jc w:val="center"/>
        </w:trPr>
        <w:tc>
          <w:tcPr>
            <w:tcW w:w="1017" w:type="dxa"/>
            <w:vMerge w:val="continue"/>
            <w:vAlign w:val="center"/>
          </w:tcPr>
          <w:p w14:paraId="68A061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rPr>
            </w:pPr>
          </w:p>
        </w:tc>
        <w:tc>
          <w:tcPr>
            <w:tcW w:w="1740" w:type="dxa"/>
            <w:shd w:val="clear" w:color="auto" w:fill="auto"/>
            <w:vAlign w:val="center"/>
          </w:tcPr>
          <w:p w14:paraId="76588B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Weston Robot</w:t>
            </w:r>
          </w:p>
          <w:p w14:paraId="46F222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参访</w:t>
            </w:r>
          </w:p>
        </w:tc>
        <w:tc>
          <w:tcPr>
            <w:tcW w:w="1830" w:type="dxa"/>
            <w:shd w:val="clear" w:color="auto" w:fill="auto"/>
            <w:vAlign w:val="center"/>
          </w:tcPr>
          <w:p w14:paraId="4C9802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Weston Robot</w:t>
            </w:r>
          </w:p>
          <w:p w14:paraId="55DBFA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工作人员</w:t>
            </w:r>
          </w:p>
        </w:tc>
        <w:tc>
          <w:tcPr>
            <w:tcW w:w="4548" w:type="dxa"/>
            <w:shd w:val="clear" w:color="auto" w:fill="auto"/>
            <w:vAlign w:val="center"/>
          </w:tcPr>
          <w:p w14:paraId="3A4B7E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snapToGrid w:val="0"/>
                <w:color w:val="000000"/>
                <w:kern w:val="0"/>
                <w:sz w:val="21"/>
                <w:szCs w:val="21"/>
                <w:u w:val="none"/>
                <w:lang w:val="en-US" w:eastAsia="zh-CN" w:bidi="ar"/>
              </w:rPr>
            </w:pPr>
            <w:r>
              <w:rPr>
                <w:rFonts w:hint="eastAsia" w:ascii="微软雅黑" w:hAnsi="微软雅黑" w:eastAsia="微软雅黑" w:cs="微软雅黑"/>
                <w:b/>
                <w:bCs/>
                <w:i w:val="0"/>
                <w:iCs w:val="0"/>
                <w:snapToGrid w:val="0"/>
                <w:color w:val="000000"/>
                <w:kern w:val="0"/>
                <w:sz w:val="21"/>
                <w:szCs w:val="21"/>
                <w:u w:val="none"/>
                <w:lang w:val="en-US" w:eastAsia="zh-CN" w:bidi="ar"/>
              </w:rPr>
              <w:t>政企参访（三）：机器人公司</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Visit：Weston Robot</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由新加坡国立大学教授与研究员创办的机器人公司，专门为设施管理、公用事业和运输等各行各业开发自主机器人解决方案。此次参访将了解Weston Robot的业务范围，主要产品，并体验其示范性机器人产品。</w:t>
            </w:r>
          </w:p>
        </w:tc>
      </w:tr>
      <w:tr w14:paraId="1DC7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017" w:type="dxa"/>
            <w:vMerge w:val="continue"/>
            <w:vAlign w:val="center"/>
          </w:tcPr>
          <w:p w14:paraId="2DF04C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rPr>
            </w:pPr>
          </w:p>
        </w:tc>
        <w:tc>
          <w:tcPr>
            <w:tcW w:w="1740" w:type="dxa"/>
            <w:shd w:val="clear" w:color="auto" w:fill="auto"/>
            <w:vAlign w:val="center"/>
          </w:tcPr>
          <w:p w14:paraId="5C1DC9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新加坡名校参访</w:t>
            </w:r>
          </w:p>
        </w:tc>
        <w:tc>
          <w:tcPr>
            <w:tcW w:w="1830" w:type="dxa"/>
            <w:shd w:val="clear" w:color="auto" w:fill="auto"/>
            <w:vAlign w:val="center"/>
          </w:tcPr>
          <w:p w14:paraId="037B3E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新加坡国立大学</w:t>
            </w:r>
          </w:p>
        </w:tc>
        <w:tc>
          <w:tcPr>
            <w:tcW w:w="4548" w:type="dxa"/>
            <w:shd w:val="clear" w:color="auto" w:fill="auto"/>
            <w:vAlign w:val="center"/>
          </w:tcPr>
          <w:p w14:paraId="38C6D5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snapToGrid w:val="0"/>
                <w:color w:val="000000"/>
                <w:kern w:val="0"/>
                <w:sz w:val="21"/>
                <w:szCs w:val="21"/>
                <w:u w:val="none"/>
                <w:lang w:val="en-US" w:eastAsia="zh-CN" w:bidi="ar"/>
              </w:rPr>
            </w:pPr>
            <w:r>
              <w:rPr>
                <w:rFonts w:hint="eastAsia" w:ascii="微软雅黑" w:hAnsi="微软雅黑" w:eastAsia="微软雅黑" w:cs="微软雅黑"/>
                <w:b/>
                <w:bCs/>
                <w:i w:val="0"/>
                <w:iCs w:val="0"/>
                <w:snapToGrid w:val="0"/>
                <w:color w:val="000000"/>
                <w:kern w:val="0"/>
                <w:sz w:val="21"/>
                <w:szCs w:val="21"/>
                <w:u w:val="none"/>
                <w:lang w:val="en-US" w:eastAsia="zh-CN" w:bidi="ar"/>
              </w:rPr>
              <w:t>走进名校（一）：新加坡国立大学</w:t>
            </w:r>
          </w:p>
          <w:p w14:paraId="419B2A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snapToGrid w:val="0"/>
                <w:color w:val="000000"/>
                <w:kern w:val="0"/>
                <w:sz w:val="21"/>
                <w:szCs w:val="21"/>
                <w:u w:val="none"/>
                <w:lang w:val="en-US" w:eastAsia="zh-CN" w:bidi="ar"/>
              </w:rPr>
            </w:pPr>
            <w:r>
              <w:rPr>
                <w:rFonts w:hint="default" w:ascii="微软雅黑" w:hAnsi="微软雅黑" w:eastAsia="微软雅黑" w:cs="微软雅黑"/>
                <w:i w:val="0"/>
                <w:iCs w:val="0"/>
                <w:snapToGrid w:val="0"/>
                <w:color w:val="000000"/>
                <w:kern w:val="0"/>
                <w:sz w:val="21"/>
                <w:szCs w:val="21"/>
                <w:u w:val="none"/>
                <w:lang w:val="en-US" w:eastAsia="zh-CN" w:bidi="ar"/>
              </w:rPr>
              <w:t>Visit：</w:t>
            </w:r>
            <w:r>
              <w:rPr>
                <w:rFonts w:hint="eastAsia" w:ascii="微软雅黑" w:hAnsi="微软雅黑" w:eastAsia="微软雅黑" w:cs="微软雅黑"/>
                <w:i w:val="0"/>
                <w:iCs w:val="0"/>
                <w:snapToGrid w:val="0"/>
                <w:color w:val="000000"/>
                <w:kern w:val="0"/>
                <w:sz w:val="21"/>
                <w:szCs w:val="21"/>
                <w:u w:val="none"/>
                <w:lang w:val="en-US" w:eastAsia="zh-CN" w:bidi="ar"/>
              </w:rPr>
              <w:t>NUS</w:t>
            </w:r>
          </w:p>
          <w:p w14:paraId="3EE63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名校参访、深入了解南洋文化</w:t>
            </w:r>
          </w:p>
        </w:tc>
      </w:tr>
      <w:tr w14:paraId="0F6E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017" w:type="dxa"/>
            <w:vMerge w:val="restart"/>
            <w:vAlign w:val="center"/>
          </w:tcPr>
          <w:p w14:paraId="7BBA44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天</w:t>
            </w:r>
          </w:p>
        </w:tc>
        <w:tc>
          <w:tcPr>
            <w:tcW w:w="1740" w:type="dxa"/>
            <w:shd w:val="clear" w:color="auto" w:fill="auto"/>
            <w:vAlign w:val="center"/>
          </w:tcPr>
          <w:p w14:paraId="7A2E04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小组结营汇报</w:t>
            </w:r>
          </w:p>
        </w:tc>
        <w:tc>
          <w:tcPr>
            <w:tcW w:w="1830" w:type="dxa"/>
            <w:shd w:val="clear" w:color="auto" w:fill="auto"/>
            <w:vAlign w:val="center"/>
          </w:tcPr>
          <w:p w14:paraId="2C2846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上海赴外/新方学校代表</w:t>
            </w:r>
          </w:p>
        </w:tc>
        <w:tc>
          <w:tcPr>
            <w:tcW w:w="4548" w:type="dxa"/>
            <w:shd w:val="clear" w:color="auto" w:fill="auto"/>
            <w:vAlign w:val="center"/>
          </w:tcPr>
          <w:p w14:paraId="0B106D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结营仪式</w:t>
            </w:r>
          </w:p>
        </w:tc>
      </w:tr>
      <w:tr w14:paraId="6FEE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017" w:type="dxa"/>
            <w:vMerge w:val="continue"/>
            <w:vAlign w:val="center"/>
          </w:tcPr>
          <w:p w14:paraId="4B6BD0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677453E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新加坡名校参访</w:t>
            </w:r>
          </w:p>
        </w:tc>
        <w:tc>
          <w:tcPr>
            <w:tcW w:w="1830" w:type="dxa"/>
            <w:shd w:val="clear" w:color="auto" w:fill="auto"/>
            <w:vAlign w:val="center"/>
          </w:tcPr>
          <w:p w14:paraId="0E13BE4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南洋理工大学</w:t>
            </w:r>
          </w:p>
        </w:tc>
        <w:tc>
          <w:tcPr>
            <w:tcW w:w="4548" w:type="dxa"/>
            <w:shd w:val="clear" w:color="auto" w:fill="auto"/>
            <w:vAlign w:val="center"/>
          </w:tcPr>
          <w:p w14:paraId="01F938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 xml:space="preserve">走进名校（二）：南洋理工大学 </w:t>
            </w:r>
          </w:p>
          <w:p w14:paraId="14F7BB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snapToGrid w:val="0"/>
                <w:color w:val="000000"/>
                <w:kern w:val="0"/>
                <w:sz w:val="21"/>
                <w:szCs w:val="21"/>
                <w:u w:val="none"/>
                <w:lang w:val="en-US" w:eastAsia="zh-CN" w:bidi="ar"/>
              </w:rPr>
            </w:pPr>
            <w:r>
              <w:rPr>
                <w:rFonts w:hint="default" w:ascii="微软雅黑" w:hAnsi="微软雅黑" w:eastAsia="微软雅黑" w:cs="微软雅黑"/>
                <w:i w:val="0"/>
                <w:iCs w:val="0"/>
                <w:snapToGrid w:val="0"/>
                <w:color w:val="000000"/>
                <w:kern w:val="0"/>
                <w:sz w:val="21"/>
                <w:szCs w:val="21"/>
                <w:u w:val="none"/>
                <w:lang w:val="en-US" w:eastAsia="zh-CN" w:bidi="ar"/>
              </w:rPr>
              <w:t>Visit：</w:t>
            </w:r>
            <w:r>
              <w:rPr>
                <w:rFonts w:hint="eastAsia" w:ascii="微软雅黑" w:hAnsi="微软雅黑" w:eastAsia="微软雅黑" w:cs="微软雅黑"/>
                <w:i w:val="0"/>
                <w:iCs w:val="0"/>
                <w:snapToGrid w:val="0"/>
                <w:color w:val="000000"/>
                <w:kern w:val="0"/>
                <w:sz w:val="21"/>
                <w:szCs w:val="21"/>
                <w:u w:val="none"/>
                <w:lang w:val="en-US" w:eastAsia="zh-CN" w:bidi="ar"/>
              </w:rPr>
              <w:t>NTU</w:t>
            </w:r>
          </w:p>
          <w:p w14:paraId="79CE254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val="0"/>
                <w:bCs w:val="0"/>
                <w:i w:val="0"/>
                <w:iCs w:val="0"/>
                <w:color w:val="000000"/>
                <w:sz w:val="21"/>
                <w:szCs w:val="21"/>
                <w:u w:val="none"/>
                <w:lang w:val="en-US" w:eastAsia="zh-CN" w:bidi="ar-SA"/>
              </w:rPr>
              <w:t>体验名校文化、感受名校氛围</w:t>
            </w:r>
          </w:p>
        </w:tc>
      </w:tr>
      <w:tr w14:paraId="1E23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17" w:type="dxa"/>
            <w:vAlign w:val="center"/>
          </w:tcPr>
          <w:p w14:paraId="21907D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第</w:t>
            </w:r>
            <w:r>
              <w:rPr>
                <w:rFonts w:hint="eastAsia" w:ascii="微软雅黑" w:hAnsi="微软雅黑" w:eastAsia="微软雅黑" w:cs="微软雅黑"/>
                <w:sz w:val="21"/>
                <w:szCs w:val="21"/>
                <w:vertAlign w:val="baseline"/>
                <w:lang w:val="en-US" w:eastAsia="zh-CN"/>
              </w:rPr>
              <w:t>6</w:t>
            </w:r>
            <w:r>
              <w:rPr>
                <w:rFonts w:hint="eastAsia" w:ascii="微软雅黑" w:hAnsi="微软雅黑" w:eastAsia="微软雅黑" w:cs="微软雅黑"/>
                <w:sz w:val="21"/>
                <w:szCs w:val="21"/>
                <w:vertAlign w:val="baseline"/>
              </w:rPr>
              <w:t>天</w:t>
            </w:r>
          </w:p>
        </w:tc>
        <w:tc>
          <w:tcPr>
            <w:tcW w:w="1740" w:type="dxa"/>
            <w:shd w:val="clear" w:color="auto" w:fill="auto"/>
            <w:vAlign w:val="center"/>
          </w:tcPr>
          <w:p w14:paraId="6567E4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新加坡</w:t>
            </w:r>
          </w:p>
        </w:tc>
        <w:tc>
          <w:tcPr>
            <w:tcW w:w="1830" w:type="dxa"/>
            <w:shd w:val="clear" w:color="auto" w:fill="auto"/>
            <w:vAlign w:val="center"/>
          </w:tcPr>
          <w:p w14:paraId="1DC019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自由活动</w:t>
            </w:r>
          </w:p>
        </w:tc>
        <w:tc>
          <w:tcPr>
            <w:tcW w:w="4548" w:type="dxa"/>
            <w:shd w:val="clear" w:color="auto" w:fill="auto"/>
            <w:vAlign w:val="center"/>
          </w:tcPr>
          <w:p w14:paraId="6FE3BE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城市文化自由探索</w:t>
            </w:r>
          </w:p>
        </w:tc>
      </w:tr>
      <w:tr w14:paraId="2483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017" w:type="dxa"/>
            <w:vAlign w:val="center"/>
          </w:tcPr>
          <w:p w14:paraId="71D431E6">
            <w:pPr>
              <w:widowControl w:val="0"/>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天</w:t>
            </w:r>
          </w:p>
        </w:tc>
        <w:tc>
          <w:tcPr>
            <w:tcW w:w="8118" w:type="dxa"/>
            <w:gridSpan w:val="3"/>
            <w:shd w:val="clear" w:color="auto" w:fill="auto"/>
            <w:vAlign w:val="center"/>
          </w:tcPr>
          <w:p w14:paraId="07F61B31">
            <w:pPr>
              <w:widowControl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抵达机场，返回中国</w:t>
            </w:r>
          </w:p>
        </w:tc>
      </w:tr>
    </w:tbl>
    <w:p w14:paraId="25C16D27">
      <w:pPr>
        <w:spacing w:line="360" w:lineRule="auto"/>
        <w:rPr>
          <w:rFonts w:hint="eastAsia" w:ascii="微软雅黑" w:hAnsi="微软雅黑" w:eastAsia="微软雅黑" w:cs="微软雅黑"/>
          <w:b/>
          <w:bCs/>
          <w:color w:val="000000"/>
          <w:lang w:val="en-US" w:eastAsia="zh-CN" w:bidi="ar"/>
        </w:rPr>
      </w:pPr>
    </w:p>
    <w:p w14:paraId="21071479">
      <w:pPr>
        <w:spacing w:line="360" w:lineRule="auto"/>
        <w:rPr>
          <w:rFonts w:hint="eastAsia" w:ascii="微软雅黑" w:hAnsi="微软雅黑" w:eastAsia="微软雅黑" w:cs="微软雅黑"/>
          <w:b/>
          <w:bCs/>
          <w:color w:val="000000"/>
          <w:lang w:val="en-US" w:eastAsia="zh-CN" w:bidi="ar"/>
        </w:rPr>
      </w:pPr>
    </w:p>
    <w:p w14:paraId="7338C624">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新方学校</w:t>
      </w:r>
    </w:p>
    <w:p w14:paraId="6F277645">
      <w:pPr>
        <w:spacing w:line="360" w:lineRule="auto"/>
        <w:rPr>
          <w:rFonts w:hint="eastAsia" w:ascii="微软雅黑" w:hAnsi="微软雅黑" w:eastAsia="微软雅黑" w:cs="微软雅黑"/>
          <w:color w:val="B72024"/>
          <w:lang w:bidi="ar"/>
        </w:rPr>
      </w:pPr>
      <w:r>
        <w:rPr>
          <w:rFonts w:hint="eastAsia" w:ascii="微软雅黑" w:hAnsi="微软雅黑" w:eastAsia="微软雅黑" w:cs="微软雅黑"/>
          <w:b/>
          <w:bCs/>
          <w:color w:val="000000"/>
          <w:lang w:val="en-US" w:eastAsia="zh-CN" w:bidi="ar"/>
        </w:rPr>
        <w:t>新加坡国立大学</w:t>
      </w:r>
    </w:p>
    <w:p w14:paraId="70511740">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新加坡国立大学（National University of Singapore，简称国大或新国大、NUS）是</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"https://zh.wikipedia.org/wiki/%E6%96%B0%E5%8A%A0%E5%9D%A1" \o "新加坡"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新加坡</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的第一所</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"https://zh.wikipedia.org/wiki/%E5%A4%A7%E5%AD%A6" \o "大学"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高等学府</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，也是世界级顶尖学府，是一所共有16个学院的</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"https://zh.wikipedia.org/wiki/%E7%B6%9C%E5%90%88%E5%A4%A7%E5%AD%B8" \o "综合大学"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综合型</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"https://zh.wikipedia.org/wiki/%E7%A0%94%E7%A9%B6%E5%9E%8B%E5%A4%A7%E5%AD%B8" \o "研究型大学"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研究大学</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。截至2025年，新加坡国立大学在</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"https://zh.wikipedia.org/wiki/QS%E4%B8%96%E7%95%8C%E5%A4%A7%E5%AD%A6%E6%8E%92%E5%90%8D" \o "QS世界大学排名"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QS世界大学排名</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为世界第8名。</w:t>
      </w:r>
    </w:p>
    <w:p w14:paraId="4791B12B">
      <w:pPr>
        <w:spacing w:line="360" w:lineRule="auto"/>
        <w:jc w:val="center"/>
        <w:rPr>
          <w:rFonts w:hint="default" w:ascii="仿宋" w:hAnsi="仿宋" w:eastAsia="宋体"/>
          <w:lang w:val="en-US" w:eastAsia="zh-CN"/>
        </w:rPr>
      </w:pPr>
      <w:r>
        <w:rPr>
          <w:rFonts w:ascii="宋体" w:hAnsi="宋体" w:eastAsia="宋体" w:cs="宋体"/>
          <w:sz w:val="24"/>
          <w:szCs w:val="24"/>
        </w:rPr>
        <w:drawing>
          <wp:inline distT="0" distB="0" distL="114300" distR="114300">
            <wp:extent cx="1270000" cy="1900555"/>
            <wp:effectExtent l="0" t="0" r="6350" b="444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0"/>
                    <a:stretch>
                      <a:fillRect/>
                    </a:stretch>
                  </pic:blipFill>
                  <pic:spPr>
                    <a:xfrm>
                      <a:off x="0" y="0"/>
                      <a:ext cx="1270000" cy="1900555"/>
                    </a:xfrm>
                    <a:prstGeom prst="rect">
                      <a:avLst/>
                    </a:prstGeom>
                    <a:noFill/>
                    <a:ln w="9525">
                      <a:noFill/>
                    </a:ln>
                  </pic:spPr>
                </pic:pic>
              </a:graphicData>
            </a:graphic>
          </wp:inline>
        </w:drawing>
      </w:r>
      <w:r>
        <w:rPr>
          <w:rFonts w:hint="eastAsia" w:cs="宋体"/>
          <w:sz w:val="24"/>
          <w:szCs w:val="24"/>
          <w:lang w:val="en-US" w:eastAsia="zh-CN"/>
        </w:rPr>
        <w:t xml:space="preserve">        </w:t>
      </w:r>
      <w:r>
        <w:rPr>
          <w:rFonts w:ascii="宋体" w:hAnsi="宋体" w:eastAsia="宋体" w:cs="宋体"/>
          <w:sz w:val="24"/>
          <w:szCs w:val="24"/>
        </w:rPr>
        <w:drawing>
          <wp:inline distT="0" distB="0" distL="114300" distR="114300">
            <wp:extent cx="2756535" cy="1839595"/>
            <wp:effectExtent l="0" t="0" r="5715" b="8255"/>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11">
                      <a:lum bright="-6000"/>
                    </a:blip>
                    <a:stretch>
                      <a:fillRect/>
                    </a:stretch>
                  </pic:blipFill>
                  <pic:spPr>
                    <a:xfrm>
                      <a:off x="0" y="0"/>
                      <a:ext cx="2756535" cy="1839595"/>
                    </a:xfrm>
                    <a:prstGeom prst="rect">
                      <a:avLst/>
                    </a:prstGeom>
                    <a:noFill/>
                    <a:ln w="9525">
                      <a:noFill/>
                    </a:ln>
                  </pic:spPr>
                </pic:pic>
              </a:graphicData>
            </a:graphic>
          </wp:inline>
        </w:drawing>
      </w:r>
    </w:p>
    <w:p w14:paraId="40B3DA93">
      <w:pPr>
        <w:spacing w:line="360" w:lineRule="auto"/>
        <w:rPr>
          <w:rFonts w:hint="eastAsia" w:ascii="微软雅黑" w:hAnsi="微软雅黑" w:eastAsia="微软雅黑" w:cs="微软雅黑"/>
          <w:b/>
          <w:bCs/>
          <w:color w:val="000000"/>
          <w:lang w:val="en-US" w:eastAsia="zh-CN" w:bidi="ar"/>
        </w:rPr>
      </w:pPr>
    </w:p>
    <w:p w14:paraId="4443664C">
      <w:pPr>
        <w:spacing w:line="360" w:lineRule="auto"/>
        <w:rPr>
          <w:rFonts w:hint="eastAsia" w:ascii="微软雅黑" w:hAnsi="微软雅黑" w:eastAsia="微软雅黑" w:cs="微软雅黑"/>
          <w:b/>
          <w:bCs/>
          <w:color w:val="000000"/>
          <w:lang w:val="en-US" w:eastAsia="zh-CN" w:bidi="ar"/>
        </w:rPr>
      </w:pPr>
    </w:p>
    <w:p w14:paraId="1DFFFD3B">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南洋理工大学</w:t>
      </w:r>
    </w:p>
    <w:p w14:paraId="7636B4C8">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 w:val="0"/>
          <w:bCs w:val="0"/>
          <w:color w:val="000000"/>
          <w:sz w:val="21"/>
          <w:szCs w:val="21"/>
          <w:lang w:val="en-US" w:eastAsia="zh-CN" w:bidi="ar"/>
        </w:rPr>
      </w:pPr>
      <w:r>
        <w:rPr>
          <w:rFonts w:hint="eastAsia" w:ascii="微软雅黑" w:hAnsi="微软雅黑" w:eastAsia="微软雅黑" w:cs="微软雅黑"/>
          <w:sz w:val="21"/>
          <w:szCs w:val="21"/>
          <w:lang w:val="en-US" w:eastAsia="zh-CN"/>
        </w:rPr>
        <w:t>南洋理工大学（Nanyang Technological University，简称南大、NTU）</w:t>
      </w:r>
      <w:r>
        <w:rPr>
          <w:rFonts w:hint="eastAsia" w:ascii="微软雅黑" w:hAnsi="微软雅黑" w:eastAsia="微软雅黑" w:cs="微软雅黑"/>
          <w:color w:val="000000"/>
          <w:sz w:val="21"/>
          <w:szCs w:val="21"/>
          <w:lang w:bidi="ar"/>
        </w:rPr>
        <w:t>是新加坡的一所科研密集型公立大学</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bidi="ar"/>
        </w:rPr>
        <w:t>在</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"https://baike.so.com/doc/3930063-4124503.html"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纳米材料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"https://baike.so.com/doc/5034332-5260779.html"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生物材料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、功能性陶瓷和</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"https://baike.so.com/doc/6178579-6391823.html"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高分子材料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等</w:t>
      </w:r>
      <w:r>
        <w:rPr>
          <w:rFonts w:hint="eastAsia" w:ascii="微软雅黑" w:hAnsi="微软雅黑" w:eastAsia="微软雅黑" w:cs="微软雅黑"/>
          <w:color w:val="000000"/>
          <w:sz w:val="21"/>
          <w:szCs w:val="21"/>
          <w:lang w:val="en-US" w:eastAsia="zh-CN" w:bidi="ar"/>
        </w:rPr>
        <w:t>许多领域的研究</w:t>
      </w:r>
      <w:r>
        <w:rPr>
          <w:rFonts w:hint="eastAsia" w:ascii="微软雅黑" w:hAnsi="微软雅黑" w:eastAsia="微软雅黑" w:cs="微软雅黑"/>
          <w:sz w:val="21"/>
          <w:szCs w:val="21"/>
          <w:lang w:val="en-US" w:eastAsia="zh-CN"/>
        </w:rPr>
        <w:t>享有世界盛名，为</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"https://baike.so.com/doc/523017-553699.html"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工科</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和</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"https://baike.so.com/doc/6672381-24975729.html"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商科</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并重的综合性大学。2025年QS世界大学排名第15位</w:t>
      </w:r>
      <w:r>
        <w:rPr>
          <w:rFonts w:hint="eastAsia" w:ascii="微软雅黑" w:hAnsi="微软雅黑" w:eastAsia="微软雅黑" w:cs="微软雅黑"/>
          <w:b w:val="0"/>
          <w:bCs w:val="0"/>
          <w:color w:val="000000"/>
          <w:sz w:val="21"/>
          <w:szCs w:val="21"/>
          <w:lang w:val="en-US" w:eastAsia="zh-CN" w:bidi="ar"/>
        </w:rPr>
        <w:t>。</w:t>
      </w:r>
    </w:p>
    <w:p w14:paraId="3C724598">
      <w:pPr>
        <w:spacing w:line="360" w:lineRule="auto"/>
        <w:rPr>
          <w:rFonts w:ascii="宋体" w:hAnsi="宋体" w:eastAsia="宋体" w:cs="宋体"/>
          <w:sz w:val="24"/>
          <w:szCs w:val="24"/>
        </w:rPr>
      </w:pPr>
      <w:r>
        <w:rPr>
          <w:rFonts w:hint="eastAsia" w:cs="宋体"/>
          <w:sz w:val="24"/>
          <w:szCs w:val="24"/>
          <w:lang w:val="en-US" w:eastAsia="zh-CN"/>
        </w:rPr>
        <w:t xml:space="preserve">     </w:t>
      </w:r>
      <w:r>
        <w:rPr>
          <w:rFonts w:ascii="宋体" w:hAnsi="宋体" w:eastAsia="宋体" w:cs="宋体"/>
          <w:sz w:val="24"/>
          <w:szCs w:val="24"/>
        </w:rPr>
        <w:drawing>
          <wp:inline distT="0" distB="0" distL="114300" distR="114300">
            <wp:extent cx="1689735" cy="1990725"/>
            <wp:effectExtent l="0" t="0" r="571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1689735" cy="19907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71750" cy="1929130"/>
            <wp:effectExtent l="0" t="0" r="0" b="1397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3"/>
                    <a:stretch>
                      <a:fillRect/>
                    </a:stretch>
                  </pic:blipFill>
                  <pic:spPr>
                    <a:xfrm>
                      <a:off x="0" y="0"/>
                      <a:ext cx="2571750" cy="1929130"/>
                    </a:xfrm>
                    <a:prstGeom prst="rect">
                      <a:avLst/>
                    </a:prstGeom>
                    <a:noFill/>
                    <a:ln w="9525">
                      <a:noFill/>
                    </a:ln>
                  </pic:spPr>
                </pic:pic>
              </a:graphicData>
            </a:graphic>
          </wp:inline>
        </w:drawing>
      </w:r>
    </w:p>
    <w:p w14:paraId="17774731">
      <w:pPr>
        <w:spacing w:line="360" w:lineRule="auto"/>
        <w:rPr>
          <w:rFonts w:hint="eastAsia" w:ascii="微软雅黑" w:hAnsi="微软雅黑" w:eastAsia="微软雅黑" w:cs="微软雅黑"/>
          <w:b/>
          <w:bCs/>
          <w:color w:val="000000"/>
          <w:lang w:val="en-US" w:eastAsia="zh-CN" w:bidi="ar"/>
        </w:rPr>
      </w:pPr>
    </w:p>
    <w:p w14:paraId="7A106D3A">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 xml:space="preserve">新加坡社科大学 </w:t>
      </w:r>
    </w:p>
    <w:p w14:paraId="58083FC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新加坡社科大学（Singapore University of Social Sciences，简称SUSS）是一所以商学、经济学科为主，艺术、文学、教育、工学等协调发展的国际化应用型高校，坐落于新加坡金文泰区的公立应用研究型大学。其是新加坡教育部高等教育委员会辖下的法定七间公立大学之一，为新加坡高等学府开创应用型教育和终身学习的先锋。</w:t>
      </w:r>
    </w:p>
    <w:p w14:paraId="178AC711">
      <w:pPr>
        <w:spacing w:line="360" w:lineRule="auto"/>
        <w:rPr>
          <w:rFonts w:hint="eastAsia" w:ascii="微软雅黑" w:hAnsi="微软雅黑" w:eastAsia="微软雅黑" w:cs="微软雅黑"/>
          <w:sz w:val="21"/>
          <w:szCs w:val="21"/>
          <w:lang w:val="en-US" w:eastAsia="zh-CN"/>
        </w:rPr>
      </w:pPr>
    </w:p>
    <w:p w14:paraId="10A94125">
      <w:pPr>
        <w:spacing w:line="360" w:lineRule="auto"/>
        <w:rPr>
          <w:rFonts w:hint="eastAsia" w:cs="宋体"/>
          <w:sz w:val="24"/>
          <w:szCs w:val="24"/>
          <w:lang w:val="en-US"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2534285</wp:posOffset>
            </wp:positionH>
            <wp:positionV relativeFrom="paragraph">
              <wp:posOffset>5080</wp:posOffset>
            </wp:positionV>
            <wp:extent cx="2441575" cy="1197610"/>
            <wp:effectExtent l="0" t="0" r="15875" b="2540"/>
            <wp:wrapSquare wrapText="bothSides"/>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4">
                      <a:lum bright="6000"/>
                    </a:blip>
                    <a:stretch>
                      <a:fillRect/>
                    </a:stretch>
                  </pic:blipFill>
                  <pic:spPr>
                    <a:xfrm>
                      <a:off x="0" y="0"/>
                      <a:ext cx="2441575" cy="1197610"/>
                    </a:xfrm>
                    <a:prstGeom prst="rect">
                      <a:avLst/>
                    </a:prstGeom>
                    <a:noFill/>
                    <a:ln w="9525">
                      <a:noFill/>
                    </a:ln>
                  </pic:spPr>
                </pic:pic>
              </a:graphicData>
            </a:graphic>
          </wp:anchor>
        </w:drawing>
      </w:r>
      <w:r>
        <w:rPr>
          <w:rFonts w:ascii="宋体" w:hAnsi="宋体" w:eastAsia="宋体" w:cs="宋体"/>
          <w:sz w:val="24"/>
          <w:szCs w:val="24"/>
        </w:rPr>
        <w:drawing>
          <wp:inline distT="0" distB="0" distL="114300" distR="114300">
            <wp:extent cx="2073910" cy="1041400"/>
            <wp:effectExtent l="0" t="0" r="2540" b="635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5"/>
                    <a:stretch>
                      <a:fillRect/>
                    </a:stretch>
                  </pic:blipFill>
                  <pic:spPr>
                    <a:xfrm>
                      <a:off x="0" y="0"/>
                      <a:ext cx="2073910" cy="1041400"/>
                    </a:xfrm>
                    <a:prstGeom prst="rect">
                      <a:avLst/>
                    </a:prstGeom>
                    <a:noFill/>
                    <a:ln w="9525">
                      <a:noFill/>
                    </a:ln>
                  </pic:spPr>
                </pic:pic>
              </a:graphicData>
            </a:graphic>
          </wp:inline>
        </w:drawing>
      </w:r>
      <w:r>
        <w:rPr>
          <w:rFonts w:hint="eastAsia" w:cs="宋体"/>
          <w:sz w:val="24"/>
          <w:szCs w:val="24"/>
          <w:lang w:val="en-US" w:eastAsia="zh-CN"/>
        </w:rPr>
        <w:t xml:space="preserve">  </w:t>
      </w:r>
    </w:p>
    <w:p w14:paraId="292C4C07">
      <w:pPr>
        <w:spacing w:line="360" w:lineRule="auto"/>
        <w:rPr>
          <w:rFonts w:hint="eastAsia" w:cs="宋体"/>
          <w:sz w:val="24"/>
          <w:szCs w:val="24"/>
          <w:lang w:val="en-US" w:eastAsia="zh-CN"/>
        </w:rPr>
      </w:pPr>
    </w:p>
    <w:p w14:paraId="69ACF54B">
      <w:pPr>
        <w:spacing w:line="360" w:lineRule="auto"/>
        <w:rPr>
          <w:rFonts w:hint="eastAsia" w:ascii="微软雅黑" w:hAnsi="微软雅黑" w:eastAsia="微软雅黑" w:cs="微软雅黑"/>
          <w:b/>
          <w:bCs/>
          <w:color w:val="auto"/>
          <w:lang w:val="en-US" w:eastAsia="zh-CN" w:bidi="ar"/>
        </w:rPr>
      </w:pPr>
    </w:p>
    <w:p w14:paraId="05BA79E5">
      <w:pPr>
        <w:spacing w:line="360" w:lineRule="auto"/>
        <w:rPr>
          <w:rFonts w:hint="eastAsia" w:ascii="微软雅黑" w:hAnsi="微软雅黑" w:eastAsia="微软雅黑" w:cs="微软雅黑"/>
          <w:b/>
          <w:bCs/>
          <w:color w:val="auto"/>
          <w:lang w:val="en-US" w:eastAsia="zh-CN" w:bidi="ar"/>
        </w:rPr>
      </w:pPr>
    </w:p>
    <w:p w14:paraId="2527E4B5">
      <w:pPr>
        <w:spacing w:line="360" w:lineRule="auto"/>
        <w:rPr>
          <w:rFonts w:hint="eastAsia" w:ascii="微软雅黑" w:hAnsi="微软雅黑" w:eastAsia="微软雅黑" w:cs="微软雅黑"/>
          <w:b/>
          <w:bCs/>
          <w:color w:val="auto"/>
          <w:lang w:val="en-US" w:eastAsia="zh-CN" w:bidi="ar"/>
        </w:rPr>
      </w:pPr>
    </w:p>
    <w:p w14:paraId="15765CE4">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auto"/>
          <w:lang w:val="en-US" w:eastAsia="zh-CN" w:bidi="ar"/>
        </w:rPr>
        <w:t>政企</w:t>
      </w:r>
      <w:r>
        <w:rPr>
          <w:rFonts w:hint="eastAsia" w:ascii="微软雅黑" w:hAnsi="微软雅黑" w:eastAsia="微软雅黑" w:cs="微软雅黑"/>
          <w:b/>
          <w:bCs/>
          <w:color w:val="auto"/>
          <w:lang w:bidi="ar"/>
        </w:rPr>
        <w:t>参访：</w:t>
      </w:r>
      <w:r>
        <w:rPr>
          <w:rFonts w:hint="eastAsia" w:ascii="微软雅黑" w:hAnsi="微软雅黑" w:eastAsia="微软雅黑" w:cs="微软雅黑"/>
          <w:b/>
          <w:bCs/>
          <w:color w:val="auto"/>
          <w:lang w:eastAsia="zh-CN" w:bidi="ar"/>
        </w:rPr>
        <w:t>（</w:t>
      </w:r>
      <w:r>
        <w:rPr>
          <w:rFonts w:hint="eastAsia" w:ascii="微软雅黑" w:hAnsi="微软雅黑" w:eastAsia="微软雅黑" w:cs="微软雅黑"/>
          <w:b/>
          <w:bCs/>
          <w:color w:val="auto"/>
          <w:lang w:val="en-US" w:eastAsia="zh-CN" w:bidi="ar"/>
        </w:rPr>
        <w:t>会根据企</w:t>
      </w:r>
      <w:r>
        <w:rPr>
          <w:rFonts w:hint="eastAsia" w:ascii="微软雅黑" w:hAnsi="微软雅黑" w:eastAsia="微软雅黑" w:cs="微软雅黑"/>
          <w:b/>
          <w:bCs/>
          <w:sz w:val="24"/>
          <w:szCs w:val="24"/>
          <w:lang w:val="en-US" w:eastAsia="zh-CN"/>
        </w:rPr>
        <w:t>业生产任务</w:t>
      </w:r>
      <w:r>
        <w:rPr>
          <w:rFonts w:hint="eastAsia" w:ascii="微软雅黑" w:hAnsi="微软雅黑" w:eastAsia="微软雅黑" w:cs="微软雅黑"/>
          <w:b/>
          <w:bCs/>
          <w:sz w:val="24"/>
          <w:szCs w:val="24"/>
        </w:rPr>
        <w:t>、接待</w:t>
      </w:r>
      <w:r>
        <w:rPr>
          <w:rFonts w:hint="eastAsia" w:ascii="微软雅黑" w:hAnsi="微软雅黑" w:eastAsia="微软雅黑" w:cs="微软雅黑"/>
          <w:b/>
          <w:bCs/>
          <w:sz w:val="24"/>
          <w:szCs w:val="24"/>
          <w:lang w:val="en-US" w:eastAsia="zh-CN"/>
        </w:rPr>
        <w:t>安排</w:t>
      </w:r>
      <w:r>
        <w:rPr>
          <w:rFonts w:hint="eastAsia" w:ascii="微软雅黑" w:hAnsi="微软雅黑" w:eastAsia="微软雅黑" w:cs="微软雅黑"/>
          <w:b/>
          <w:bCs/>
          <w:sz w:val="24"/>
          <w:szCs w:val="24"/>
        </w:rPr>
        <w:t>等客观因素</w:t>
      </w:r>
      <w:r>
        <w:rPr>
          <w:rFonts w:hint="eastAsia" w:ascii="微软雅黑" w:hAnsi="微软雅黑" w:eastAsia="微软雅黑" w:cs="微软雅黑"/>
          <w:b/>
          <w:bCs/>
          <w:color w:val="auto"/>
          <w:lang w:val="en-US" w:eastAsia="zh-CN" w:bidi="ar"/>
        </w:rPr>
        <w:t>进行最终选择</w:t>
      </w:r>
      <w:r>
        <w:rPr>
          <w:rFonts w:hint="eastAsia" w:ascii="微软雅黑" w:hAnsi="微软雅黑" w:eastAsia="微软雅黑" w:cs="微软雅黑"/>
          <w:b/>
          <w:bCs/>
          <w:color w:val="auto"/>
          <w:lang w:eastAsia="zh-CN" w:bidi="ar"/>
        </w:rPr>
        <w:t>）</w:t>
      </w:r>
    </w:p>
    <w:p w14:paraId="509FEAFD">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新加坡规划局展览馆（URA gallery）</w:t>
      </w:r>
    </w:p>
    <w:p w14:paraId="1AE58392">
      <w:pPr>
        <w:spacing w:line="360" w:lineRule="auto"/>
        <w:rPr>
          <w:rFonts w:hint="eastAsia" w:ascii="仿宋" w:hAnsi="仿宋" w:eastAsia="仿宋"/>
          <w:b/>
          <w:bCs/>
          <w:color w:val="000000"/>
          <w:lang w:val="en-US" w:eastAsia="zh-CN" w:bidi="ar"/>
        </w:rPr>
      </w:pPr>
      <w:r>
        <w:rPr>
          <w:rFonts w:hint="eastAsia" w:ascii="仿宋" w:hAnsi="仿宋" w:eastAsia="仿宋"/>
          <w:b/>
          <w:bCs/>
          <w:color w:val="000000"/>
          <w:lang w:val="en-US" w:eastAsia="zh-CN" w:bidi="ar"/>
        </w:rPr>
        <w:drawing>
          <wp:inline distT="0" distB="0" distL="114300" distR="114300">
            <wp:extent cx="2821305" cy="1585595"/>
            <wp:effectExtent l="0" t="0" r="17145" b="14605"/>
            <wp:docPr id="14" name="图片 14" descr="077560d16fb45fb1561dad0ccdb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77560d16fb45fb1561dad0ccdbe483"/>
                    <pic:cNvPicPr>
                      <a:picLocks noChangeAspect="1"/>
                    </pic:cNvPicPr>
                  </pic:nvPicPr>
                  <pic:blipFill>
                    <a:blip r:embed="rId16"/>
                    <a:stretch>
                      <a:fillRect/>
                    </a:stretch>
                  </pic:blipFill>
                  <pic:spPr>
                    <a:xfrm>
                      <a:off x="0" y="0"/>
                      <a:ext cx="2821305" cy="1585595"/>
                    </a:xfrm>
                    <a:prstGeom prst="rect">
                      <a:avLst/>
                    </a:prstGeom>
                  </pic:spPr>
                </pic:pic>
              </a:graphicData>
            </a:graphic>
          </wp:inline>
        </w:drawing>
      </w:r>
    </w:p>
    <w:p w14:paraId="73B203D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新加坡城市规划展览馆（URA）的前身为市区城建局展示廊。展览馆占据3个楼层。作为新加坡城市规划的游客参观中心，它向参观者展示了新加坡如何一步步发展成今天这个生气勃勃、拥有565万人口的现代都市，而同时又有空间开发绿地、保存古建筑遗迹、创造优雅的生活环境。</w:t>
      </w:r>
    </w:p>
    <w:p w14:paraId="6DC4800D">
      <w:pPr>
        <w:spacing w:line="360" w:lineRule="auto"/>
        <w:rPr>
          <w:rFonts w:hint="eastAsia" w:ascii="微软雅黑" w:hAnsi="微软雅黑" w:eastAsia="微软雅黑" w:cs="微软雅黑"/>
          <w:b/>
          <w:bCs/>
          <w:sz w:val="24"/>
          <w:szCs w:val="24"/>
          <w:lang w:val="en-US" w:eastAsia="zh-CN"/>
        </w:rPr>
      </w:pPr>
    </w:p>
    <w:p w14:paraId="0CB323B2">
      <w:pPr>
        <w:spacing w:line="360" w:lineRule="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bCs/>
          <w:sz w:val="24"/>
          <w:szCs w:val="24"/>
          <w:lang w:val="en-US" w:eastAsia="zh-CN"/>
        </w:rPr>
        <w:t>机器人公司（Weston Robot）</w:t>
      </w:r>
    </w:p>
    <w:p w14:paraId="76234784">
      <w:pPr>
        <w:spacing w:line="360" w:lineRule="auto"/>
        <w:rPr>
          <w:rFonts w:hint="eastAsia" w:ascii="微软雅黑" w:hAnsi="微软雅黑" w:eastAsia="微软雅黑" w:cs="微软雅黑"/>
          <w:b w:val="0"/>
          <w:bCs w:val="0"/>
          <w:color w:val="auto"/>
          <w:lang w:val="en-US" w:eastAsia="zh-CN"/>
        </w:rPr>
      </w:pPr>
      <w:r>
        <w:drawing>
          <wp:inline distT="0" distB="0" distL="114300" distR="114300">
            <wp:extent cx="2359025" cy="1769745"/>
            <wp:effectExtent l="0" t="0" r="3175" b="190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7">
                      <a:lum bright="12000" contrast="12000"/>
                    </a:blip>
                    <a:stretch>
                      <a:fillRect/>
                    </a:stretch>
                  </pic:blipFill>
                  <pic:spPr>
                    <a:xfrm>
                      <a:off x="0" y="0"/>
                      <a:ext cx="2359025" cy="1769745"/>
                    </a:xfrm>
                    <a:prstGeom prst="rect">
                      <a:avLst/>
                    </a:prstGeom>
                    <a:noFill/>
                    <a:ln>
                      <a:noFill/>
                    </a:ln>
                  </pic:spPr>
                </pic:pic>
              </a:graphicData>
            </a:graphic>
          </wp:inline>
        </w:drawing>
      </w:r>
    </w:p>
    <w:p w14:paraId="7258CC9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Weston Robot是一家总部位于新加坡的机器人公司，由新加坡国立大学教授与研究员创办，专门为设施管理、公用事业和运输等各行各业开发自主机器人解决方案。Weston Robot 已在新加坡各地部署了 300 多台自主机器人，为提高环境服务和基础设施维护等行业的效率做出了贡献。</w:t>
      </w:r>
    </w:p>
    <w:p w14:paraId="2B86FB3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p>
    <w:p w14:paraId="05DBE16D">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ACE（The Action Community for Entrepreneurship）</w:t>
      </w:r>
    </w:p>
    <w:p w14:paraId="0F7F74F2">
      <w:pPr>
        <w:spacing w:line="360" w:lineRule="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2507615" cy="1880870"/>
            <wp:effectExtent l="0" t="0" r="6985" b="5080"/>
            <wp:docPr id="26" name="图片 26" descr="692c29aceea136e86e5938fd8402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92c29aceea136e86e5938fd8402ce9"/>
                    <pic:cNvPicPr>
                      <a:picLocks noChangeAspect="1"/>
                    </pic:cNvPicPr>
                  </pic:nvPicPr>
                  <pic:blipFill>
                    <a:blip r:embed="rId18"/>
                    <a:stretch>
                      <a:fillRect/>
                    </a:stretch>
                  </pic:blipFill>
                  <pic:spPr>
                    <a:xfrm>
                      <a:off x="0" y="0"/>
                      <a:ext cx="2507615" cy="1880870"/>
                    </a:xfrm>
                    <a:prstGeom prst="rect">
                      <a:avLst/>
                    </a:prstGeom>
                  </pic:spPr>
                </pic:pic>
              </a:graphicData>
            </a:graphic>
          </wp:inline>
        </w:drawing>
      </w:r>
    </w:p>
    <w:p w14:paraId="14A6F70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ACE是新加坡政府支持和促进初创企业发展的重要行业协会。ACE 为初创企业提供指导、研讨会和交流机会，在培育充满活力的创业生态系统方面发挥着至关重要的作用。通过将初创企业创始人与经验丰富的企业家、投资者和行业专家联系起来，ACE 成为推动新加坡初创企业生态系统创业增长和创新的宝贵资源。</w:t>
      </w:r>
    </w:p>
    <w:p w14:paraId="6AC80170">
      <w:pPr>
        <w:spacing w:line="360" w:lineRule="auto"/>
        <w:rPr>
          <w:rFonts w:hint="eastAsia" w:ascii="微软雅黑" w:hAnsi="微软雅黑" w:eastAsia="微软雅黑" w:cs="微软雅黑"/>
          <w:b/>
          <w:bCs/>
          <w:color w:val="000000"/>
          <w:lang w:val="en-US" w:eastAsia="zh-CN" w:bidi="ar"/>
        </w:rPr>
      </w:pPr>
    </w:p>
    <w:p w14:paraId="0963B603">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生态农场（Urban Farm）</w:t>
      </w:r>
    </w:p>
    <w:p w14:paraId="57C8C739">
      <w:pPr>
        <w:spacing w:line="360" w:lineRule="auto"/>
        <w:rPr>
          <w:rFonts w:hint="eastAsia" w:ascii="仿宋" w:hAnsi="仿宋" w:eastAsia="仿宋"/>
          <w:b/>
          <w:bCs/>
          <w:color w:val="000000"/>
          <w:lang w:val="en-US" w:eastAsia="zh-CN" w:bidi="ar"/>
        </w:rPr>
      </w:pPr>
      <w:r>
        <w:rPr>
          <w:rFonts w:hint="eastAsia" w:ascii="仿宋" w:hAnsi="仿宋" w:eastAsia="仿宋"/>
          <w:b/>
          <w:bCs/>
          <w:color w:val="000000"/>
          <w:lang w:val="en-US" w:eastAsia="zh-CN" w:bidi="ar"/>
        </w:rPr>
        <w:drawing>
          <wp:inline distT="0" distB="0" distL="114300" distR="114300">
            <wp:extent cx="3177540" cy="1788795"/>
            <wp:effectExtent l="0" t="0" r="3810" b="1905"/>
            <wp:docPr id="16" name="图片 16" descr="a5e0d5d1fbb79a467640c2d8579f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e0d5d1fbb79a467640c2d8579f949"/>
                    <pic:cNvPicPr>
                      <a:picLocks noChangeAspect="1"/>
                    </pic:cNvPicPr>
                  </pic:nvPicPr>
                  <pic:blipFill>
                    <a:blip r:embed="rId19"/>
                    <a:stretch>
                      <a:fillRect/>
                    </a:stretch>
                  </pic:blipFill>
                  <pic:spPr>
                    <a:xfrm>
                      <a:off x="0" y="0"/>
                      <a:ext cx="3177540" cy="1788795"/>
                    </a:xfrm>
                    <a:prstGeom prst="rect">
                      <a:avLst/>
                    </a:prstGeom>
                  </pic:spPr>
                </pic:pic>
              </a:graphicData>
            </a:graphic>
          </wp:inline>
        </w:drawing>
      </w:r>
    </w:p>
    <w:p w14:paraId="58730EA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color w:val="000000"/>
          <w:sz w:val="21"/>
          <w:szCs w:val="21"/>
          <w:lang w:val="en-US" w:eastAsia="zh-CN" w:bidi="ar"/>
        </w:rPr>
        <w:t>新加坡生态农场是</w:t>
      </w:r>
      <w:r>
        <w:rPr>
          <w:rFonts w:hint="eastAsia" w:ascii="微软雅黑" w:hAnsi="微软雅黑" w:eastAsia="微软雅黑" w:cs="微软雅黑"/>
          <w:sz w:val="21"/>
          <w:szCs w:val="21"/>
          <w:lang w:val="en-US" w:eastAsia="zh-CN"/>
        </w:rPr>
        <w:t>新加坡集农业产业和教育为一体的现代农场。旨在发展由农业课程、教育农场和区块链市场组成的循环生态系统，并致力于教育年轻一代，关于粮食安全，可持续发展，以及农业创新创业。</w:t>
      </w:r>
    </w:p>
    <w:p w14:paraId="612F59E0">
      <w:pPr>
        <w:spacing w:line="360" w:lineRule="auto"/>
        <w:rPr>
          <w:rFonts w:hint="eastAsia" w:ascii="微软雅黑" w:hAnsi="微软雅黑" w:eastAsia="微软雅黑" w:cs="微软雅黑"/>
          <w:lang w:val="en-US" w:eastAsia="zh-CN"/>
        </w:rPr>
      </w:pPr>
    </w:p>
    <w:p w14:paraId="65A2814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樟宜机场集团（CAG）</w:t>
      </w:r>
    </w:p>
    <w:p w14:paraId="6232EFAA">
      <w:pPr>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385695" cy="1790065"/>
            <wp:effectExtent l="0" t="0" r="14605" b="635"/>
            <wp:docPr id="20" name="图片 20" descr="樟宜机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樟宜机场1"/>
                    <pic:cNvPicPr>
                      <a:picLocks noChangeAspect="1"/>
                    </pic:cNvPicPr>
                  </pic:nvPicPr>
                  <pic:blipFill>
                    <a:blip r:embed="rId20"/>
                    <a:stretch>
                      <a:fillRect/>
                    </a:stretch>
                  </pic:blipFill>
                  <pic:spPr>
                    <a:xfrm>
                      <a:off x="0" y="0"/>
                      <a:ext cx="2385695" cy="1790065"/>
                    </a:xfrm>
                    <a:prstGeom prst="rect">
                      <a:avLst/>
                    </a:prstGeom>
                  </pic:spPr>
                </pic:pic>
              </a:graphicData>
            </a:graphic>
          </wp:inline>
        </w:drawing>
      </w:r>
    </w:p>
    <w:p w14:paraId="5E6A8D9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b/>
          <w:bCs/>
          <w:sz w:val="24"/>
          <w:szCs w:val="24"/>
        </w:rPr>
      </w:pPr>
      <w:r>
        <w:rPr>
          <w:rFonts w:hint="eastAsia" w:ascii="微软雅黑" w:hAnsi="微软雅黑" w:eastAsia="微软雅黑" w:cs="微软雅黑"/>
          <w:sz w:val="21"/>
          <w:szCs w:val="21"/>
          <w:lang w:val="en-US" w:eastAsia="zh-CN"/>
        </w:rPr>
        <w:t>CAG负责新加坡樟宜机场的管理和运营，该机场以高效、创新和客户体验著称，是世界领先的机场之一。新加坡樟宜机场集团成立于 2009 年，负责监督机场运营、零售和餐饮服务，以及基础设施的发展，以提高连接性和旅客满意度。除运营外，CAG 还关注可持续发展、利用技术和扩大合作伙伴关系，以巩固樟宜机场作为全球航空枢纽的地位。</w:t>
      </w:r>
    </w:p>
    <w:p w14:paraId="18449FEA">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p>
    <w:p w14:paraId="50E5ECBE">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凯度咨询 (Kantar SG)</w:t>
      </w:r>
    </w:p>
    <w:p w14:paraId="69C5F4CC">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sz w:val="21"/>
          <w:szCs w:val="21"/>
          <w:lang w:eastAsia="zh-CN"/>
        </w:rPr>
        <w:drawing>
          <wp:inline distT="0" distB="0" distL="114300" distR="114300">
            <wp:extent cx="2408555" cy="1805940"/>
            <wp:effectExtent l="0" t="0" r="10795" b="3810"/>
            <wp:docPr id="33" name="图片 33" descr="凯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凯度3"/>
                    <pic:cNvPicPr>
                      <a:picLocks noChangeAspect="1"/>
                    </pic:cNvPicPr>
                  </pic:nvPicPr>
                  <pic:blipFill>
                    <a:blip r:embed="rId21"/>
                    <a:stretch>
                      <a:fillRect/>
                    </a:stretch>
                  </pic:blipFill>
                  <pic:spPr>
                    <a:xfrm>
                      <a:off x="0" y="0"/>
                      <a:ext cx="2408555" cy="1805940"/>
                    </a:xfrm>
                    <a:prstGeom prst="rect">
                      <a:avLst/>
                    </a:prstGeom>
                  </pic:spPr>
                </pic:pic>
              </a:graphicData>
            </a:graphic>
          </wp:inline>
        </w:drawing>
      </w:r>
    </w:p>
    <w:p w14:paraId="21428B31">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3" w:firstLine="420" w:firstLineChars="200"/>
        <w:jc w:val="both"/>
        <w:textAlignment w:val="baseline"/>
        <w:rPr>
          <w:rFonts w:hint="eastAsia" w:ascii="微软雅黑" w:hAnsi="微软雅黑" w:eastAsia="微软雅黑" w:cs="微软雅黑"/>
          <w:spacing w:val="-2"/>
          <w:sz w:val="21"/>
          <w:szCs w:val="21"/>
        </w:rPr>
      </w:pPr>
      <w:r>
        <w:rPr>
          <w:rFonts w:hint="eastAsia" w:ascii="微软雅黑" w:hAnsi="微软雅黑" w:eastAsia="微软雅黑" w:cs="微软雅黑"/>
          <w:sz w:val="21"/>
          <w:szCs w:val="21"/>
        </w:rPr>
        <w:t>凯度是全球领先的数据、洞察与咨询公司。我们帮助客户深度洞察人性，捕捉增长灵感。凯度以数据和证据</w:t>
      </w:r>
      <w:r>
        <w:rPr>
          <w:rFonts w:hint="eastAsia" w:ascii="微软雅黑" w:hAnsi="微软雅黑" w:eastAsia="微软雅黑" w:cs="微软雅黑"/>
          <w:spacing w:val="-1"/>
          <w:sz w:val="21"/>
          <w:szCs w:val="21"/>
        </w:rPr>
        <w:t>为基础，向全球客户提供</w:t>
      </w:r>
      <w:r>
        <w:rPr>
          <w:rFonts w:hint="eastAsia" w:ascii="微软雅黑" w:hAnsi="微软雅黑" w:eastAsia="微软雅黑" w:cs="微软雅黑"/>
          <w:sz w:val="21"/>
          <w:szCs w:val="21"/>
        </w:rPr>
        <w:t>洞察与可执行建议。我们对全球各国的人们拥有完整和独特的认识：我们懂得他们是如何思考、感受和行动的；</w:t>
      </w:r>
      <w:r>
        <w:rPr>
          <w:rFonts w:hint="eastAsia" w:ascii="微软雅黑" w:hAnsi="微软雅黑" w:eastAsia="微软雅黑" w:cs="微软雅黑"/>
          <w:spacing w:val="-1"/>
          <w:sz w:val="21"/>
          <w:szCs w:val="21"/>
        </w:rPr>
        <w:t>我们有覆盖全球超过</w:t>
      </w:r>
      <w:r>
        <w:rPr>
          <w:rFonts w:hint="eastAsia" w:ascii="微软雅黑" w:hAnsi="微软雅黑" w:eastAsia="微软雅黑" w:cs="微软雅黑"/>
          <w:sz w:val="21"/>
          <w:szCs w:val="21"/>
        </w:rPr>
        <w:t xml:space="preserve"> 90个市场的规模优势，也有专注本地的深度洞察。我们不仅帮助客户理解已经发生了什么，我们还解读为什么会</w:t>
      </w:r>
      <w:r>
        <w:rPr>
          <w:rFonts w:hint="eastAsia" w:ascii="微软雅黑" w:hAnsi="微软雅黑" w:eastAsia="微软雅黑" w:cs="微软雅黑"/>
          <w:spacing w:val="-1"/>
          <w:sz w:val="21"/>
          <w:szCs w:val="21"/>
        </w:rPr>
        <w:t>发生，以及应当如何</w:t>
      </w:r>
      <w:r>
        <w:rPr>
          <w:rFonts w:hint="eastAsia" w:ascii="微软雅黑" w:hAnsi="微软雅黑" w:eastAsia="微软雅黑" w:cs="微软雅黑"/>
          <w:spacing w:val="-2"/>
          <w:sz w:val="21"/>
          <w:szCs w:val="21"/>
        </w:rPr>
        <w:t>做以掌控未来。</w:t>
      </w:r>
    </w:p>
    <w:p w14:paraId="07DD69C0">
      <w:pPr>
        <w:spacing w:line="360" w:lineRule="auto"/>
        <w:rPr>
          <w:rFonts w:hint="eastAsia" w:ascii="微软雅黑" w:hAnsi="微软雅黑" w:eastAsia="微软雅黑" w:cs="微软雅黑"/>
          <w:b/>
          <w:bCs/>
          <w:sz w:val="24"/>
          <w:szCs w:val="24"/>
          <w:lang w:val="en-US" w:eastAsia="zh-CN" w:bidi="zh-CN"/>
        </w:rPr>
      </w:pPr>
    </w:p>
    <w:p w14:paraId="4D88140B">
      <w:pPr>
        <w:spacing w:line="360" w:lineRule="auto"/>
        <w:rPr>
          <w:rFonts w:hint="eastAsia" w:ascii="微软雅黑" w:hAnsi="微软雅黑" w:eastAsia="微软雅黑" w:cs="微软雅黑"/>
          <w:b/>
          <w:bCs/>
          <w:sz w:val="24"/>
          <w:szCs w:val="24"/>
          <w:lang w:val="en-US" w:eastAsia="zh-CN" w:bidi="zh-CN"/>
        </w:rPr>
      </w:pPr>
      <w:r>
        <w:rPr>
          <w:rFonts w:hint="eastAsia" w:ascii="微软雅黑" w:hAnsi="微软雅黑" w:eastAsia="微软雅黑" w:cs="微软雅黑"/>
          <w:b/>
          <w:bCs/>
          <w:sz w:val="24"/>
          <w:szCs w:val="24"/>
          <w:lang w:val="en-US" w:eastAsia="zh-CN" w:bidi="zh-CN"/>
        </w:rPr>
        <w:t>新加坡金融管理局（MAS）</w:t>
      </w:r>
    </w:p>
    <w:p w14:paraId="0A55222A">
      <w:pPr>
        <w:spacing w:line="360" w:lineRule="auto"/>
        <w:rPr>
          <w:rFonts w:hint="eastAsia" w:ascii="微软雅黑" w:hAnsi="微软雅黑" w:eastAsia="微软雅黑" w:cs="微软雅黑"/>
          <w:b/>
          <w:bCs/>
          <w:sz w:val="24"/>
          <w:szCs w:val="24"/>
          <w:lang w:val="en-US" w:eastAsia="zh-CN" w:bidi="zh-CN"/>
        </w:rPr>
      </w:pPr>
      <w:r>
        <w:rPr>
          <w:rFonts w:ascii="宋体" w:hAnsi="宋体" w:eastAsia="宋体" w:cs="宋体"/>
          <w:sz w:val="24"/>
          <w:szCs w:val="24"/>
        </w:rPr>
        <w:drawing>
          <wp:inline distT="0" distB="0" distL="114300" distR="114300">
            <wp:extent cx="2689225" cy="1459230"/>
            <wp:effectExtent l="0" t="0" r="15875" b="762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22"/>
                    <a:stretch>
                      <a:fillRect/>
                    </a:stretch>
                  </pic:blipFill>
                  <pic:spPr>
                    <a:xfrm>
                      <a:off x="0" y="0"/>
                      <a:ext cx="2689225" cy="1459230"/>
                    </a:xfrm>
                    <a:prstGeom prst="rect">
                      <a:avLst/>
                    </a:prstGeom>
                    <a:noFill/>
                    <a:ln w="9525">
                      <a:noFill/>
                    </a:ln>
                  </pic:spPr>
                </pic:pic>
              </a:graphicData>
            </a:graphic>
          </wp:inline>
        </w:drawing>
      </w:r>
    </w:p>
    <w:p w14:paraId="44DDA44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新加坡金融管理局是新加坡行使中央银行职能的金融机构。全面行使一般中央银行的职权（除发行货币），包括指导金融业、监督银行的各项经营行为。</w:t>
      </w:r>
    </w:p>
    <w:p w14:paraId="389B630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p>
    <w:p w14:paraId="282B64D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Killiney Kopitiam </w:t>
      </w:r>
    </w:p>
    <w:p w14:paraId="413E628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1"/>
          <w:szCs w:val="21"/>
          <w:lang w:val="en-US" w:eastAsia="zh-CN"/>
        </w:rPr>
        <w:drawing>
          <wp:inline distT="0" distB="0" distL="114300" distR="114300">
            <wp:extent cx="2577465" cy="1450975"/>
            <wp:effectExtent l="0" t="0" r="13335" b="15875"/>
            <wp:docPr id="21" name="图片 21" descr="咖啡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咖啡店1"/>
                    <pic:cNvPicPr>
                      <a:picLocks noChangeAspect="1"/>
                    </pic:cNvPicPr>
                  </pic:nvPicPr>
                  <pic:blipFill>
                    <a:blip r:embed="rId23"/>
                    <a:stretch>
                      <a:fillRect/>
                    </a:stretch>
                  </pic:blipFill>
                  <pic:spPr>
                    <a:xfrm>
                      <a:off x="0" y="0"/>
                      <a:ext cx="2577465" cy="1450975"/>
                    </a:xfrm>
                    <a:prstGeom prst="rect">
                      <a:avLst/>
                    </a:prstGeom>
                  </pic:spPr>
                </pic:pic>
              </a:graphicData>
            </a:graphic>
          </wp:inline>
        </w:drawing>
      </w:r>
    </w:p>
    <w:p w14:paraId="7EA5932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Killiney Kopitiam 创建于 1919 年，是新加坡历史最悠久的海南Coffee shop. 它的前身是 Kheng Hoe Heng Coffee shop，以传统的炭烤咖椰吐司和精心调制的咖啡和茶而闻名。1992 年，海南商人温德成（Woon Tek Seng）收购了这家咖啡店，并将其更名为“Killiney Kopitiam</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。该品牌遍布新加坡以及马来西亚和印度尼西亚等国。企业已实现从实体到在线、数字和食品技术投资的发展。</w:t>
      </w:r>
    </w:p>
    <w:p w14:paraId="6C1A0EB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sz w:val="21"/>
          <w:szCs w:val="21"/>
          <w:lang w:val="en-US" w:eastAsia="zh-CN"/>
        </w:rPr>
      </w:pPr>
    </w:p>
    <w:p w14:paraId="34EEEE2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sz w:val="21"/>
          <w:szCs w:val="21"/>
          <w:lang w:val="en-US" w:eastAsia="zh-CN"/>
        </w:rPr>
      </w:pPr>
    </w:p>
    <w:p w14:paraId="46B4A27C">
      <w:pPr>
        <w:spacing w:line="360" w:lineRule="auto"/>
        <w:rPr>
          <w:rFonts w:hint="eastAsia" w:ascii="微软雅黑" w:hAnsi="微软雅黑" w:eastAsia="微软雅黑" w:cs="微软雅黑"/>
          <w:b/>
          <w:bCs/>
          <w:color w:val="auto"/>
          <w:lang w:val="en-US" w:eastAsia="zh-CN" w:bidi="ar"/>
        </w:rPr>
      </w:pPr>
    </w:p>
    <w:p w14:paraId="13B5BF6A">
      <w:pPr>
        <w:spacing w:line="360" w:lineRule="auto"/>
        <w:rPr>
          <w:rFonts w:hint="eastAsia" w:ascii="微软雅黑" w:hAnsi="微软雅黑" w:eastAsia="微软雅黑" w:cs="微软雅黑"/>
          <w:b/>
          <w:bCs/>
          <w:color w:val="auto"/>
          <w:lang w:val="en-US" w:eastAsia="zh-CN" w:bidi="ar"/>
        </w:rPr>
      </w:pPr>
    </w:p>
    <w:p w14:paraId="208B23E1">
      <w:pPr>
        <w:spacing w:line="360" w:lineRule="auto"/>
        <w:rPr>
          <w:rFonts w:hint="eastAsia" w:ascii="微软雅黑" w:hAnsi="微软雅黑" w:eastAsia="微软雅黑" w:cs="微软雅黑"/>
          <w:b/>
          <w:bCs/>
          <w:color w:val="auto"/>
          <w:lang w:val="en-US" w:eastAsia="zh-CN" w:bidi="ar"/>
        </w:rPr>
      </w:pPr>
    </w:p>
    <w:p w14:paraId="0A3CCFE4">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部分师资简介</w:t>
      </w:r>
    </w:p>
    <w:p w14:paraId="44659A6F">
      <w:pPr>
        <w:spacing w:line="360" w:lineRule="auto"/>
        <w:rPr>
          <w:rFonts w:hint="eastAsia" w:ascii="微软雅黑" w:hAnsi="微软雅黑" w:eastAsia="微软雅黑" w:cs="微软雅黑"/>
          <w:b/>
          <w:bCs/>
          <w:color w:val="auto"/>
          <w:lang w:val="en-US" w:eastAsia="zh-CN" w:bidi="ar"/>
        </w:rPr>
      </w:pPr>
      <w:r>
        <w:rPr>
          <w:rFonts w:ascii="Arial" w:hAnsi="Arial" w:cs="Arial"/>
          <w:color w:val="000000"/>
          <w:sz w:val="22"/>
        </w:rPr>
        <w:drawing>
          <wp:inline distT="0" distB="0" distL="114300" distR="114300">
            <wp:extent cx="1311275" cy="1311275"/>
            <wp:effectExtent l="0" t="0" r="3175" b="3175"/>
            <wp:docPr id="11" name="图片 6"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A person in a white shirt&#10;&#10;Description automatically generated"/>
                    <pic:cNvPicPr>
                      <a:picLocks noChangeAspect="1"/>
                    </pic:cNvPicPr>
                  </pic:nvPicPr>
                  <pic:blipFill>
                    <a:blip r:embed="rId24">
                      <a:lum bright="6000" contrast="-12000"/>
                    </a:blip>
                    <a:stretch>
                      <a:fillRect/>
                    </a:stretch>
                  </pic:blipFill>
                  <pic:spPr>
                    <a:xfrm>
                      <a:off x="0" y="0"/>
                      <a:ext cx="1311275" cy="1311275"/>
                    </a:xfrm>
                    <a:prstGeom prst="rect">
                      <a:avLst/>
                    </a:prstGeom>
                    <a:noFill/>
                    <a:ln>
                      <a:noFill/>
                    </a:ln>
                  </pic:spPr>
                </pic:pic>
              </a:graphicData>
            </a:graphic>
          </wp:inline>
        </w:drawing>
      </w:r>
      <w:r>
        <w:rPr>
          <w:rFonts w:hint="eastAsia" w:ascii="Arial" w:hAnsi="Arial" w:cs="Arial"/>
          <w:color w:val="000000"/>
          <w:sz w:val="22"/>
          <w:lang w:val="en-US" w:eastAsia="zh-CN"/>
        </w:rPr>
        <w:t xml:space="preserve"> </w:t>
      </w:r>
      <w:r>
        <w:rPr>
          <w:rFonts w:hint="eastAsia" w:ascii="微软雅黑" w:hAnsi="微软雅黑" w:eastAsia="微软雅黑" w:cs="微软雅黑"/>
          <w:b/>
          <w:bCs/>
          <w:color w:val="auto"/>
          <w:lang w:val="en-US" w:eastAsia="zh-CN" w:bidi="ar"/>
        </w:rPr>
        <w:t>Sapto Handoyo</w:t>
      </w:r>
    </w:p>
    <w:p w14:paraId="0B4520F1">
      <w:pPr>
        <w:spacing w:line="360" w:lineRule="auto"/>
        <w:rPr>
          <w:rFonts w:hint="eastAsia" w:ascii="微软雅黑" w:hAnsi="微软雅黑" w:eastAsia="微软雅黑" w:cs="微软雅黑"/>
          <w:color w:val="auto"/>
          <w:lang w:val="en-US" w:eastAsia="zh-CN" w:bidi="ar"/>
        </w:rPr>
      </w:pPr>
      <w:r>
        <w:rPr>
          <w:rFonts w:hint="eastAsia" w:ascii="微软雅黑" w:hAnsi="微软雅黑" w:eastAsia="微软雅黑" w:cs="微软雅黑"/>
          <w:b/>
          <w:bCs/>
          <w:color w:val="auto"/>
          <w:sz w:val="24"/>
          <w:szCs w:val="24"/>
          <w:lang w:val="en-US" w:eastAsia="zh-CN" w:bidi="ar"/>
        </w:rPr>
        <w:t>Deloitte</w:t>
      </w:r>
      <w:r>
        <w:rPr>
          <w:rFonts w:hint="eastAsia" w:ascii="微软雅黑" w:hAnsi="微软雅黑" w:eastAsia="微软雅黑" w:cs="微软雅黑"/>
          <w:b/>
          <w:bCs/>
          <w:color w:val="auto"/>
          <w:lang w:val="en-US" w:eastAsia="zh-CN" w:bidi="ar"/>
        </w:rPr>
        <w:t>印度尼西亚公司（DKI）风险咨询部副总监</w:t>
      </w:r>
    </w:p>
    <w:p w14:paraId="7E55A64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其拥有超过20年的投资、公司治理（CG）和可持续发展经验，在国际金融公司（IFC）--世界银行集团（WBG）亚太地区工作7年，在位于肯尼亚内罗毕的国际金融公司撒哈拉以南非洲地区工作4年。他因在开发和推广国际金融公司信息披露与透明度工具包方面发挥的作用，荣获 2019 年世界银行集团全球总裁奖。</w:t>
      </w:r>
    </w:p>
    <w:p w14:paraId="5D9B712C">
      <w:pPr>
        <w:keepNext w:val="0"/>
        <w:keepLines w:val="0"/>
        <w:pageBreakBefore w:val="0"/>
        <w:widowControl/>
        <w:kinsoku/>
        <w:wordWrap/>
        <w:overflowPunct/>
        <w:topLinePunct w:val="0"/>
        <w:autoSpaceDE/>
        <w:autoSpaceDN/>
        <w:bidi w:val="0"/>
        <w:adjustRightInd/>
        <w:snapToGrid/>
        <w:spacing w:line="480" w:lineRule="exact"/>
        <w:ind w:firstLine="420" w:firstLineChars="200"/>
        <w:textAlignment w:val="auto"/>
        <w:rPr>
          <w:rFonts w:hint="eastAsia" w:ascii="微软雅黑" w:hAnsi="微软雅黑" w:eastAsia="微软雅黑" w:cs="微软雅黑"/>
          <w:color w:val="auto"/>
          <w:sz w:val="21"/>
          <w:szCs w:val="21"/>
          <w:lang w:val="en-US" w:eastAsia="zh-CN" w:bidi="ar"/>
        </w:rPr>
      </w:pPr>
    </w:p>
    <w:p w14:paraId="48763EE6">
      <w:pPr>
        <w:keepNext w:val="0"/>
        <w:keepLines w:val="0"/>
        <w:pageBreakBefore w:val="0"/>
        <w:widowControl/>
        <w:kinsoku/>
        <w:wordWrap/>
        <w:overflowPunct/>
        <w:topLinePunct w:val="0"/>
        <w:autoSpaceDE/>
        <w:autoSpaceDN/>
        <w:bidi w:val="0"/>
        <w:adjustRightInd/>
        <w:snapToGrid/>
        <w:spacing w:line="360" w:lineRule="auto"/>
        <w:textAlignment w:val="auto"/>
      </w:pPr>
      <w:r>
        <w:drawing>
          <wp:inline distT="0" distB="0" distL="114300" distR="114300">
            <wp:extent cx="1236980" cy="1281430"/>
            <wp:effectExtent l="0" t="0" r="1270" b="1397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5">
                      <a:lum bright="6000" contrast="12000"/>
                    </a:blip>
                    <a:stretch>
                      <a:fillRect/>
                    </a:stretch>
                  </pic:blipFill>
                  <pic:spPr>
                    <a:xfrm>
                      <a:off x="0" y="0"/>
                      <a:ext cx="1236980" cy="1281430"/>
                    </a:xfrm>
                    <a:prstGeom prst="rect">
                      <a:avLst/>
                    </a:prstGeom>
                    <a:noFill/>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Damien Lam</w:t>
      </w:r>
    </w:p>
    <w:p w14:paraId="4D90772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Course Leader for SUSS EcoPreneur Innovation Programme</w:t>
      </w:r>
    </w:p>
    <w:p w14:paraId="36249C0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其拥有AIDC绿色农场顾问（老挝人民民主共和国）、Dataware Technologies公司亚太区总监、LeadingSide私人有限公司首席执行官、Nutrious Farms私人有限公司首席执行官兼首席培训师、新加坡社会科学大学研究员等多个头衔，研究方向涉及信息通信技术、市场与新产品开发、国际及数字营销、电子商务、知识管理、农业商业等多个专业领域。</w:t>
      </w:r>
    </w:p>
    <w:p w14:paraId="735846C5">
      <w:pPr>
        <w:spacing w:line="360" w:lineRule="auto"/>
      </w:pPr>
    </w:p>
    <w:p w14:paraId="6A52816E">
      <w:pPr>
        <w:spacing w:line="360" w:lineRule="auto"/>
        <w:rPr>
          <w:rFonts w:hint="eastAsia" w:ascii="微软雅黑" w:hAnsi="微软雅黑" w:eastAsia="微软雅黑" w:cs="微软雅黑"/>
          <w:b/>
          <w:bCs/>
          <w:sz w:val="24"/>
          <w:szCs w:val="24"/>
        </w:rPr>
      </w:pPr>
      <w:r>
        <w:drawing>
          <wp:inline distT="0" distB="0" distL="114300" distR="114300">
            <wp:extent cx="1296670" cy="1341755"/>
            <wp:effectExtent l="0" t="0" r="0" b="1079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6"/>
                    <a:srcRect r="-6410" b="7137"/>
                    <a:stretch>
                      <a:fillRect/>
                    </a:stretch>
                  </pic:blipFill>
                  <pic:spPr>
                    <a:xfrm>
                      <a:off x="0" y="0"/>
                      <a:ext cx="1296670" cy="1341755"/>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rPr>
        <w:t>J</w:t>
      </w:r>
      <w:r>
        <w:rPr>
          <w:rFonts w:hint="eastAsia" w:ascii="微软雅黑" w:hAnsi="微软雅黑" w:eastAsia="微软雅黑" w:cs="微软雅黑"/>
          <w:b/>
          <w:bCs/>
          <w:color w:val="auto"/>
          <w:sz w:val="24"/>
          <w:szCs w:val="24"/>
          <w:lang w:val="en-US" w:eastAsia="zh-CN" w:bidi="ar"/>
        </w:rPr>
        <w:t>ulia (Yajuan) Li</w:t>
      </w:r>
    </w:p>
    <w:p w14:paraId="0E416FB9">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sz w:val="24"/>
          <w:szCs w:val="24"/>
          <w:lang w:val="en-US" w:eastAsia="zh-CN" w:bidi="ar"/>
        </w:rPr>
        <w:t>Google</w:t>
      </w:r>
      <w:r>
        <w:rPr>
          <w:rFonts w:hint="eastAsia" w:ascii="微软雅黑" w:hAnsi="微软雅黑" w:eastAsia="微软雅黑" w:cs="微软雅黑"/>
          <w:b/>
          <w:bCs/>
          <w:color w:val="auto"/>
          <w:lang w:val="en-US" w:eastAsia="zh-CN" w:bidi="ar"/>
        </w:rPr>
        <w:t>亚太区信任与安全项目管理负责人</w:t>
      </w:r>
    </w:p>
    <w:p w14:paraId="1A3D94A5">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pPr>
      <w:r>
        <w:rPr>
          <w:rFonts w:hint="eastAsia" w:ascii="微软雅黑" w:hAnsi="微软雅黑" w:eastAsia="微软雅黑" w:cs="微软雅黑"/>
          <w:color w:val="auto"/>
          <w:sz w:val="21"/>
          <w:szCs w:val="21"/>
          <w:lang w:val="en-US" w:eastAsia="zh-CN" w:bidi="ar"/>
        </w:rPr>
        <w:t>Julia女士是一位经验丰富的领导者。拥有超过18年的科技公司工作经验。她广泛的经验涵盖了产品管理、战略与运营以及用户信任。栗女士目前任谷歌亚太区信任与安全项目管理负责人，领导团队开发并实施改善用户信任的解决方案，涉及谷歌广告、商店、搜索引擎、谷歌支付和云服务等多个领域。她曾成功领导跨功能团队，为谷歌助手在全球46个地区推出新功能，管理跨职能项目。</w:t>
      </w:r>
    </w:p>
    <w:p w14:paraId="7A38F92F">
      <w:pPr>
        <w:spacing w:line="360" w:lineRule="auto"/>
      </w:pPr>
    </w:p>
    <w:p w14:paraId="3366C731">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269365" cy="1269365"/>
            <wp:effectExtent l="0" t="0" r="6985" b="6985"/>
            <wp:docPr id="9" name="Picture 2" descr="Photo of Stephen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hoto of Stephen H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69365" cy="1269365"/>
                    </a:xfrm>
                    <a:prstGeom prst="rect">
                      <a:avLst/>
                    </a:prstGeom>
                    <a:noFill/>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 xml:space="preserve">Stephen Ho </w:t>
      </w:r>
    </w:p>
    <w:p w14:paraId="5738C962">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Group COO at Skylab Group and commanding officer in SAF</w:t>
      </w:r>
    </w:p>
    <w:p w14:paraId="1048D293">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Stephen是SkyLab集团的首席运营官和其子公司SkyLab Services的董事总经理。他领导着在智慧城市、战略城市管理和海事物流等领域实施企业级物联网（IoT）和边缘计算解决方案的工作。拥有20多年的国际业务管理、城市规划和技术咨询经验，Stephen在战略规划、业务拓展和知识产权管理方面具有出色的能力。他在知名组织中担任过领导职务，并拥有工程和商业领域的高级学位。Stephen的专业知识涵盖了从中国到拉丁美洲等多个地区。Stephen目前的研究领域集中在地产和商业策略。</w:t>
      </w:r>
    </w:p>
    <w:p w14:paraId="4622D5E1">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default" w:ascii="微软雅黑" w:hAnsi="微软雅黑" w:eastAsia="微软雅黑" w:cs="微软雅黑"/>
          <w:color w:val="auto"/>
          <w:sz w:val="21"/>
          <w:szCs w:val="21"/>
          <w:lang w:val="en-US" w:eastAsia="zh-CN" w:bidi="ar"/>
        </w:rPr>
      </w:pPr>
    </w:p>
    <w:p w14:paraId="6DD247A4">
      <w:pPr>
        <w:spacing w:line="360" w:lineRule="auto"/>
        <w:rPr>
          <w:rFonts w:hint="default" w:ascii="微软雅黑" w:hAnsi="微软雅黑" w:eastAsia="微软雅黑" w:cs="微软雅黑"/>
          <w:b/>
          <w:bCs/>
          <w:sz w:val="24"/>
          <w:szCs w:val="24"/>
          <w:lang w:val="en-US" w:eastAsia="zh-CN"/>
        </w:rPr>
      </w:pPr>
      <w:r>
        <w:drawing>
          <wp:inline distT="0" distB="0" distL="114300" distR="114300">
            <wp:extent cx="1346200" cy="1325880"/>
            <wp:effectExtent l="0" t="0" r="6350" b="7620"/>
            <wp:docPr id="3074" name="Picture 2" descr="Weibiao 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Weibiao X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46200" cy="1325880"/>
                    </a:xfrm>
                    <a:prstGeom prst="rect">
                      <a:avLst/>
                    </a:prstGeom>
                    <a:noFill/>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Dr. Weibiao Xu</w:t>
      </w:r>
    </w:p>
    <w:p w14:paraId="54A96F1E">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Senior Lecturer, Finance Programme School of Business, SUSS</w:t>
      </w:r>
    </w:p>
    <w:p w14:paraId="57E17FE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许博士是一位经验丰富的金融学者，具有扎实的数学和科学计算背景。他于2008年获得中山大学科学计算与计算机应用学士学位，并于2010年在新加坡国立大学获得数学硕士学位。随后于2015年在新加坡国立大学获得金融学博士学位。近年来许博士在多个知名学术期刊上发表了多篇论文。其研究兴趣包括实证公司金融、行为金融、金融科技和区块链等领域。</w:t>
      </w:r>
    </w:p>
    <w:p w14:paraId="768B7AF2">
      <w:pPr>
        <w:spacing w:line="360" w:lineRule="auto"/>
        <w:rPr>
          <w:rFonts w:hint="eastAsia" w:ascii="微软雅黑" w:hAnsi="微软雅黑" w:eastAsia="微软雅黑" w:cs="微软雅黑"/>
          <w:b/>
          <w:bCs/>
          <w:sz w:val="24"/>
          <w:szCs w:val="24"/>
          <w:lang w:val="en-US" w:eastAsia="zh-CN"/>
        </w:rPr>
      </w:pPr>
    </w:p>
    <w:p w14:paraId="1415D43A">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302385" cy="1275715"/>
            <wp:effectExtent l="0" t="0" r="12065" b="635"/>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29"/>
                    <a:stretch>
                      <a:fillRect/>
                    </a:stretch>
                  </pic:blipFill>
                  <pic:spPr>
                    <a:xfrm>
                      <a:off x="0" y="0"/>
                      <a:ext cx="1302385" cy="1275715"/>
                    </a:xfrm>
                    <a:prstGeom prst="rect">
                      <a:avLst/>
                    </a:prstGeom>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Carol Zhang</w:t>
      </w:r>
    </w:p>
    <w:p w14:paraId="062FFBF8">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Senior Director, Surbana Jurong</w:t>
      </w:r>
    </w:p>
    <w:p w14:paraId="05AF9250">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Carol是一位经验丰富的专业人士，现任新加坡裕廊世邦威理仕私人有限公司新业务与特别项目高级总监，负责领导合资企业合作并主导可持续咨询项目。Carol成功承接并管理了多项重大项目，包括推动新加坡首支可持续债券发行，以及建立5亿美元可持续共同投资平台。此前任职于中信建设伦敦及北京办公室期间，她在战略规划、业务拓展及全球市场高层谈判中发挥关键作用，作出重要贡献。</w:t>
      </w:r>
    </w:p>
    <w:p w14:paraId="36B4656A">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color w:val="auto"/>
          <w:sz w:val="21"/>
          <w:szCs w:val="21"/>
          <w:lang w:val="en-US" w:eastAsia="zh-CN" w:bidi="ar"/>
        </w:rPr>
      </w:pPr>
    </w:p>
    <w:p w14:paraId="3690E1D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4"/>
          <w:szCs w:val="24"/>
          <w:lang w:val="en-US" w:eastAsia="zh-CN"/>
        </w:rPr>
      </w:pPr>
      <w:r>
        <w:drawing>
          <wp:inline distT="0" distB="0" distL="114300" distR="114300">
            <wp:extent cx="1226185" cy="1390650"/>
            <wp:effectExtent l="0" t="0" r="1206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30"/>
                    <a:srcRect l="11717" r="10331" b="7574"/>
                    <a:stretch>
                      <a:fillRect/>
                    </a:stretch>
                  </pic:blipFill>
                  <pic:spPr>
                    <a:xfrm>
                      <a:off x="0" y="0"/>
                      <a:ext cx="1226185" cy="1390650"/>
                    </a:xfrm>
                    <a:prstGeom prst="rect">
                      <a:avLst/>
                    </a:prstGeom>
                  </pic:spPr>
                </pic:pic>
              </a:graphicData>
            </a:graphic>
          </wp:inline>
        </w:drawing>
      </w:r>
      <w:r>
        <w:rPr>
          <w:rFonts w:hint="eastAsia"/>
        </w:rPr>
        <w:t xml:space="preserve"> </w:t>
      </w:r>
      <w:r>
        <w:rPr>
          <w:rFonts w:hint="eastAsia" w:ascii="微软雅黑" w:hAnsi="微软雅黑" w:eastAsia="微软雅黑" w:cs="微软雅黑"/>
          <w:b/>
          <w:bCs/>
          <w:sz w:val="24"/>
          <w:szCs w:val="24"/>
          <w:lang w:val="en-US" w:eastAsia="zh-CN"/>
        </w:rPr>
        <w:t>Mr. Jason Ho</w:t>
      </w:r>
    </w:p>
    <w:p w14:paraId="09FAC011">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(Founder of Performance Capital)</w:t>
      </w:r>
    </w:p>
    <w:p w14:paraId="653E1268">
      <w:pPr>
        <w:spacing w:line="360" w:lineRule="auto"/>
        <w:ind w:firstLine="630" w:firstLineChars="300"/>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Jason Ho是Performance Capital的创始人，专注于为跨国公司的董事、总经理及高管团队提供培训，致力于优化团队发展并推动卓越绩效。其职业生涯横跨亚洲、加拿大及阿联酋的多家企业，包括Adobe、默克、育碧、DHL、强生、罗氏、Vans及 VF 等知名企业。他还与新加坡政府机构密切合作，提升其领导团队效能，合作对象涵盖新加坡旅游局、新加坡企业局及教育部等。Jason曾受邀担任东盟未来领袖峰会主旨演讲嘉宾，并在新加坡主办了首届东盟优势教育峰会。他同时担任新加坡国立大学商学院StrengthsFinder®顾问委员会成员。</w:t>
      </w:r>
    </w:p>
    <w:p w14:paraId="16FBE267">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166495" cy="1320165"/>
            <wp:effectExtent l="0" t="0" r="14605" b="13335"/>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pic:cNvPicPr>
                  </pic:nvPicPr>
                  <pic:blipFill>
                    <a:blip r:embed="rId31"/>
                    <a:stretch>
                      <a:fillRect/>
                    </a:stretch>
                  </pic:blipFill>
                  <pic:spPr>
                    <a:xfrm>
                      <a:off x="0" y="0"/>
                      <a:ext cx="1166495" cy="1320165"/>
                    </a:xfrm>
                    <a:prstGeom prst="rect">
                      <a:avLst/>
                    </a:prstGeom>
                  </pic:spPr>
                </pic:pic>
              </a:graphicData>
            </a:graphic>
          </wp:inline>
        </w:drawing>
      </w:r>
      <w:r>
        <w:rPr>
          <w:rFonts w:hint="eastAsia"/>
          <w:lang w:val="en-US" w:eastAsia="zh-CN"/>
        </w:rPr>
        <w:t xml:space="preserve"> </w:t>
      </w:r>
      <w:r>
        <w:rPr>
          <w:rFonts w:hint="eastAsia" w:ascii="微软雅黑" w:hAnsi="微软雅黑" w:eastAsia="微软雅黑" w:cs="微软雅黑"/>
          <w:b/>
          <w:bCs/>
          <w:sz w:val="24"/>
          <w:szCs w:val="24"/>
          <w:lang w:val="en-US" w:eastAsia="zh-CN"/>
        </w:rPr>
        <w:t>Mr. Zhang Fengzhi</w:t>
      </w:r>
    </w:p>
    <w:p w14:paraId="2AFE468A">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Founder &amp; CEO, Singtis Pte Ltd</w:t>
      </w:r>
    </w:p>
    <w:p w14:paraId="07C05DE0">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color w:val="auto"/>
          <w:sz w:val="21"/>
          <w:szCs w:val="21"/>
          <w:lang w:val="en-US" w:eastAsia="zh-CN" w:bidi="ar"/>
        </w:rPr>
        <w:t>张凤志先生拥有超过 15 年的软件工程、高级管理和创业经验。2015年，他在中国创办了一家专注于创业投资和支持服务的企业。2018 年将全球总部迁至新加坡后，他成立的投资基金已为 30 多家企业提供支持，并推动 200 多家企业进军东南亚市场。他的服务涵盖技术开发、品牌建设、市场拓展和本地化运营。他在商业、投资和教育方面的综合经验为他驾驭东南亚商业环境提供了宝贵的见解。</w:t>
      </w:r>
    </w:p>
    <w:p w14:paraId="725F7DE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lang w:val="en-US" w:eastAsia="zh-CN"/>
        </w:rPr>
      </w:pPr>
    </w:p>
    <w:p w14:paraId="18C8A14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文化体验</w:t>
      </w:r>
    </w:p>
    <w:p w14:paraId="63DD622A">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樟宜机场</w:t>
      </w:r>
    </w:p>
    <w:p w14:paraId="1FDD646C">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663360" behindDoc="1" locked="0" layoutInCell="1" allowOverlap="1">
            <wp:simplePos x="0" y="0"/>
            <wp:positionH relativeFrom="column">
              <wp:posOffset>19050</wp:posOffset>
            </wp:positionH>
            <wp:positionV relativeFrom="paragraph">
              <wp:posOffset>84455</wp:posOffset>
            </wp:positionV>
            <wp:extent cx="2386965" cy="1518920"/>
            <wp:effectExtent l="0" t="0" r="51435" b="43180"/>
            <wp:wrapTight wrapText="bothSides">
              <wp:wrapPolygon>
                <wp:start x="0" y="0"/>
                <wp:lineTo x="0" y="21401"/>
                <wp:lineTo x="21376" y="21401"/>
                <wp:lineTo x="21376" y="0"/>
                <wp:lineTo x="0" y="0"/>
              </wp:wrapPolygon>
            </wp:wrapTight>
            <wp:docPr id="31" name="图片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
                    <pic:cNvPicPr>
                      <a:picLocks noChangeAspect="1"/>
                    </pic:cNvPicPr>
                  </pic:nvPicPr>
                  <pic:blipFill>
                    <a:blip r:embed="rId32"/>
                    <a:stretch>
                      <a:fillRect/>
                    </a:stretch>
                  </pic:blipFill>
                  <pic:spPr>
                    <a:xfrm>
                      <a:off x="0" y="0"/>
                      <a:ext cx="2386965" cy="1518920"/>
                    </a:xfrm>
                    <a:prstGeom prst="rect">
                      <a:avLst/>
                    </a:prstGeom>
                  </pic:spPr>
                </pic:pic>
              </a:graphicData>
            </a:graphic>
          </wp:anchor>
        </w:drawing>
      </w:r>
      <w:r>
        <w:rPr>
          <w:rFonts w:hint="eastAsia" w:ascii="微软雅黑" w:hAnsi="微软雅黑" w:eastAsia="微软雅黑" w:cs="微软雅黑"/>
          <w:sz w:val="21"/>
          <w:szCs w:val="21"/>
        </w:rPr>
        <w:t>新加坡樟宜机场（Singapore Changi Airport）简称“樟宜机场”，位于新加坡共和国东海岸选区机场大道，西距新加坡市中心 17.2 千米，是 4F 级国际机场、大型国际枢纽机场。总面积 1300 万平方米，有 4 座航站楼。机场 T1 航站楼的“雨之舞”动态雕塑，带给游客违逆重力的视觉体验和美轮美奂的金色梦境。雨之舞每件雕塑长 9.8 米，宽 4 米，可以变幻出 16 种不同的舞姿，这一作品从三维模型到手工雕塑再到灌入电脑程序，制作时间长达 20 个月。网红打卡地：星耀樟宜；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网红瀑布</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—雨旋涡等</w:t>
      </w:r>
      <w:r>
        <w:rPr>
          <w:rFonts w:hint="eastAsia" w:ascii="微软雅黑" w:hAnsi="微软雅黑" w:eastAsia="微软雅黑" w:cs="微软雅黑"/>
          <w:sz w:val="21"/>
          <w:szCs w:val="21"/>
          <w:lang w:eastAsia="zh-CN"/>
        </w:rPr>
        <w:t>。</w:t>
      </w:r>
    </w:p>
    <w:p w14:paraId="59F4628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rPr>
      </w:pPr>
    </w:p>
    <w:p w14:paraId="0D8FDAE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sz w:val="21"/>
          <w:szCs w:val="21"/>
          <w:lang w:val="en-US" w:eastAsia="zh-CN"/>
        </w:rPr>
        <w:drawing>
          <wp:anchor distT="0" distB="0" distL="114300" distR="114300" simplePos="0" relativeHeight="251664384" behindDoc="1" locked="0" layoutInCell="1" allowOverlap="1">
            <wp:simplePos x="0" y="0"/>
            <wp:positionH relativeFrom="column">
              <wp:posOffset>3938905</wp:posOffset>
            </wp:positionH>
            <wp:positionV relativeFrom="paragraph">
              <wp:posOffset>53975</wp:posOffset>
            </wp:positionV>
            <wp:extent cx="1708150" cy="1529715"/>
            <wp:effectExtent l="0" t="0" r="63500" b="51435"/>
            <wp:wrapTight wrapText="bothSides">
              <wp:wrapPolygon>
                <wp:start x="1445" y="0"/>
                <wp:lineTo x="0" y="1614"/>
                <wp:lineTo x="0" y="19636"/>
                <wp:lineTo x="1445" y="21250"/>
                <wp:lineTo x="19994" y="21250"/>
                <wp:lineTo x="21439" y="20174"/>
                <wp:lineTo x="21439" y="1614"/>
                <wp:lineTo x="19994" y="0"/>
                <wp:lineTo x="1445" y="0"/>
              </wp:wrapPolygon>
            </wp:wrapTight>
            <wp:docPr id="25" name="图片 25"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PS图片(1)"/>
                    <pic:cNvPicPr>
                      <a:picLocks noChangeAspect="1"/>
                    </pic:cNvPicPr>
                  </pic:nvPicPr>
                  <pic:blipFill>
                    <a:blip r:embed="rId33"/>
                    <a:stretch>
                      <a:fillRect/>
                    </a:stretch>
                  </pic:blipFill>
                  <pic:spPr>
                    <a:xfrm>
                      <a:off x="0" y="0"/>
                      <a:ext cx="1708150" cy="1529715"/>
                    </a:xfrm>
                    <a:prstGeom prst="rect">
                      <a:avLst/>
                    </a:prstGeom>
                  </pic:spPr>
                </pic:pic>
              </a:graphicData>
            </a:graphic>
          </wp:anchor>
        </w:drawing>
      </w:r>
      <w:r>
        <w:rPr>
          <w:rFonts w:hint="eastAsia" w:ascii="微软雅黑" w:hAnsi="微软雅黑" w:eastAsia="微软雅黑" w:cs="微软雅黑"/>
          <w:b/>
          <w:bCs/>
          <w:sz w:val="24"/>
          <w:szCs w:val="24"/>
        </w:rPr>
        <w:t>圣淘沙岛海滩</w:t>
      </w:r>
    </w:p>
    <w:p w14:paraId="7F443C4D">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drawing>
          <wp:anchor distT="0" distB="0" distL="0" distR="0" simplePos="0" relativeHeight="251661312" behindDoc="1" locked="0" layoutInCell="0" allowOverlap="1">
            <wp:simplePos x="0" y="0"/>
            <wp:positionH relativeFrom="page">
              <wp:posOffset>629920</wp:posOffset>
            </wp:positionH>
            <wp:positionV relativeFrom="page">
              <wp:posOffset>12903835</wp:posOffset>
            </wp:positionV>
            <wp:extent cx="2470785" cy="2004060"/>
            <wp:effectExtent l="0" t="0" r="5715" b="5715"/>
            <wp:wrapThrough wrapText="bothSides">
              <wp:wrapPolygon>
                <wp:start x="1998" y="0"/>
                <wp:lineTo x="1499" y="103"/>
                <wp:lineTo x="167" y="1335"/>
                <wp:lineTo x="0" y="2361"/>
                <wp:lineTo x="0" y="19095"/>
                <wp:lineTo x="83" y="20019"/>
                <wp:lineTo x="1416" y="21354"/>
                <wp:lineTo x="1998" y="21456"/>
                <wp:lineTo x="19485" y="21456"/>
                <wp:lineTo x="20068" y="21354"/>
                <wp:lineTo x="21400" y="19916"/>
                <wp:lineTo x="21483" y="18992"/>
                <wp:lineTo x="21483" y="2361"/>
                <wp:lineTo x="21400" y="1335"/>
                <wp:lineTo x="20068" y="205"/>
                <wp:lineTo x="19485" y="0"/>
                <wp:lineTo x="1998" y="0"/>
              </wp:wrapPolygon>
            </wp:wrapThrough>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4"/>
                    <a:stretch>
                      <a:fillRect/>
                    </a:stretch>
                  </pic:blipFill>
                  <pic:spPr>
                    <a:xfrm>
                      <a:off x="0" y="0"/>
                      <a:ext cx="2470785" cy="2004059"/>
                    </a:xfrm>
                    <a:prstGeom prst="rect">
                      <a:avLst/>
                    </a:prstGeom>
                  </pic:spPr>
                </pic:pic>
              </a:graphicData>
            </a:graphic>
          </wp:anchor>
        </w:drawing>
      </w:r>
      <w:r>
        <w:rPr>
          <w:rFonts w:hint="eastAsia" w:ascii="微软雅黑" w:hAnsi="微软雅黑" w:eastAsia="微软雅黑" w:cs="微软雅黑"/>
          <w:sz w:val="21"/>
          <w:szCs w:val="21"/>
          <w:lang w:val="en-US" w:eastAsia="zh-CN"/>
        </w:rPr>
        <w:t>圣</w:t>
      </w:r>
      <w:r>
        <w:rPr>
          <w:rFonts w:hint="eastAsia" w:ascii="微软雅黑" w:hAnsi="微软雅黑" w:eastAsia="微软雅黑" w:cs="微软雅黑"/>
          <w:sz w:val="21"/>
          <w:szCs w:val="21"/>
        </w:rPr>
        <w:t>淘沙沿岸分布着三片海滩，可根据各个海滩的特点确定自己的去处。每一片海滩都有各自的独特魅力：西乐索海滩 (Siloso Beach) 是圣淘沙岛上最热闹的海滩，各种餐馆和景点鳞次栉比；巴拉湾海滩 (Palawan Beach) 拥有众多游乐场、公园和环礁湖，常适合家庭游玩；丹戎海滩 (Tanjong Beach) 悠闲宁静，是享受宁谧假期的理想之选。</w:t>
      </w:r>
    </w:p>
    <w:p w14:paraId="2AF9128B">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bCs/>
          <w:sz w:val="24"/>
          <w:szCs w:val="24"/>
        </w:rPr>
      </w:pPr>
    </w:p>
    <w:p w14:paraId="1FF9B20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sz w:val="21"/>
          <w:szCs w:val="21"/>
        </w:rPr>
        <w:drawing>
          <wp:anchor distT="0" distB="0" distL="0" distR="0" simplePos="0" relativeHeight="251662336" behindDoc="1" locked="0" layoutInCell="0" allowOverlap="1">
            <wp:simplePos x="0" y="0"/>
            <wp:positionH relativeFrom="page">
              <wp:posOffset>5010785</wp:posOffset>
            </wp:positionH>
            <wp:positionV relativeFrom="paragraph">
              <wp:posOffset>325120</wp:posOffset>
            </wp:positionV>
            <wp:extent cx="1918970" cy="1723390"/>
            <wp:effectExtent l="0" t="0" r="62230" b="48260"/>
            <wp:wrapThrough wrapText="bothSides">
              <wp:wrapPolygon>
                <wp:start x="1715" y="0"/>
                <wp:lineTo x="0" y="955"/>
                <wp:lineTo x="0" y="20534"/>
                <wp:lineTo x="1715" y="21250"/>
                <wp:lineTo x="19727" y="21250"/>
                <wp:lineTo x="21443" y="20534"/>
                <wp:lineTo x="21443" y="955"/>
                <wp:lineTo x="19727" y="0"/>
                <wp:lineTo x="1715" y="0"/>
              </wp:wrapPolygon>
            </wp:wrapThrough>
            <wp:docPr id="17" name="IM 26"/>
            <wp:cNvGraphicFramePr/>
            <a:graphic xmlns:a="http://schemas.openxmlformats.org/drawingml/2006/main">
              <a:graphicData uri="http://schemas.openxmlformats.org/drawingml/2006/picture">
                <pic:pic xmlns:pic="http://schemas.openxmlformats.org/drawingml/2006/picture">
                  <pic:nvPicPr>
                    <pic:cNvPr id="17" name="IM 26"/>
                    <pic:cNvPicPr/>
                  </pic:nvPicPr>
                  <pic:blipFill>
                    <a:blip r:embed="rId35"/>
                    <a:stretch>
                      <a:fillRect/>
                    </a:stretch>
                  </pic:blipFill>
                  <pic:spPr>
                    <a:xfrm>
                      <a:off x="0" y="0"/>
                      <a:ext cx="1918970" cy="1723390"/>
                    </a:xfrm>
                    <a:prstGeom prst="rect">
                      <a:avLst/>
                    </a:prstGeom>
                  </pic:spPr>
                </pic:pic>
              </a:graphicData>
            </a:graphic>
          </wp:anchor>
        </w:drawing>
      </w:r>
      <w:r>
        <w:rPr>
          <w:rFonts w:hint="eastAsia" w:ascii="微软雅黑" w:hAnsi="微软雅黑" w:eastAsia="微软雅黑" w:cs="微软雅黑"/>
          <w:b/>
          <w:bCs/>
          <w:sz w:val="24"/>
          <w:szCs w:val="24"/>
        </w:rPr>
        <w:t>鱼尾狮公园</w:t>
      </w:r>
    </w:p>
    <w:p w14:paraId="54149AF4">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鱼尾狮公园 （Mer lion's Park），坐落于浮尔顿一号隔邻的填海地带，是新加坡面积最小的公园。鱼尾狮是一种虚构的鱼身狮头的动物。塑像高 8.6米，重 70 吨，狮子口中喷出一股清水，是由雕刻家林浪新先生和他的两个孩子于</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1972 年共同雕塑的，另一座高 2 米的小型鱼尾狮雕像也在同一时期完成。该公园建有一条露天看台，游客可走上鱼尾狮前面拍照，看台上可举办各种艺术表演和娱乐活动，公园内也备有购物商店和饮食店让游人歇歇脚。</w:t>
      </w:r>
    </w:p>
    <w:p w14:paraId="7891129E">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374E6F55">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r>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t>项目须知</w:t>
      </w:r>
    </w:p>
    <w:p w14:paraId="50537CA2">
      <w:pPr>
        <w:keepNext w:val="0"/>
        <w:keepLines w:val="0"/>
        <w:pageBreakBefore w:val="0"/>
        <w:widowControl/>
        <w:wordWrap/>
        <w:overflowPunct/>
        <w:topLinePunct w:val="0"/>
        <w:bidi w:val="0"/>
        <w:spacing w:line="520" w:lineRule="exact"/>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住宿及餐饮：</w:t>
      </w:r>
    </w:p>
    <w:p w14:paraId="6626DA72">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【住宿】学生将入住新加坡酒店，</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标间（含早），</w:t>
      </w:r>
      <w:r>
        <w:rPr>
          <w:rFonts w:hint="eastAsia" w:ascii="微软雅黑" w:hAnsi="微软雅黑" w:eastAsia="微软雅黑" w:cs="微软雅黑"/>
          <w:color w:val="000000" w:themeColor="text1"/>
          <w:sz w:val="21"/>
          <w:szCs w:val="21"/>
          <w:lang w:bidi="ar"/>
          <w14:textFill>
            <w14:solidFill>
              <w14:schemeClr w14:val="tx1"/>
            </w14:solidFill>
          </w14:textFill>
        </w:rPr>
        <w:t>酒店提供牙刷、牙膏、手巾、拖鞋、洗衣机</w:t>
      </w:r>
      <w:r>
        <w:rPr>
          <w:rFonts w:hint="eastAsia" w:ascii="微软雅黑" w:hAnsi="微软雅黑" w:eastAsia="微软雅黑" w:cs="微软雅黑"/>
          <w:color w:val="00B0F0"/>
          <w:sz w:val="21"/>
          <w:szCs w:val="21"/>
          <w:lang w:eastAsia="zh-CN" w:bidi="ar"/>
        </w:rPr>
        <w:t>（</w:t>
      </w:r>
      <w:r>
        <w:rPr>
          <w:rFonts w:hint="eastAsia" w:ascii="微软雅黑" w:hAnsi="微软雅黑" w:eastAsia="微软雅黑" w:cs="微软雅黑"/>
          <w:color w:val="00B0F0"/>
          <w:sz w:val="21"/>
          <w:szCs w:val="21"/>
          <w:lang w:val="en-US" w:eastAsia="zh-CN" w:bidi="ar"/>
        </w:rPr>
        <w:t>有偿使用</w:t>
      </w:r>
      <w:r>
        <w:rPr>
          <w:rFonts w:hint="eastAsia" w:ascii="微软雅黑" w:hAnsi="微软雅黑" w:eastAsia="微软雅黑" w:cs="微软雅黑"/>
          <w:color w:val="00B0F0"/>
          <w:sz w:val="21"/>
          <w:szCs w:val="21"/>
          <w:lang w:eastAsia="zh-CN" w:bidi="ar"/>
        </w:rPr>
        <w:t>）</w:t>
      </w:r>
      <w:r>
        <w:rPr>
          <w:rFonts w:hint="eastAsia" w:ascii="微软雅黑" w:hAnsi="微软雅黑" w:eastAsia="微软雅黑" w:cs="微软雅黑"/>
          <w:color w:val="000000" w:themeColor="text1"/>
          <w:sz w:val="21"/>
          <w:szCs w:val="21"/>
          <w:lang w:bidi="ar"/>
          <w14:textFill>
            <w14:solidFill>
              <w14:schemeClr w14:val="tx1"/>
            </w14:solidFill>
          </w14:textFill>
        </w:rPr>
        <w:t>等生活必备用品；</w:t>
      </w:r>
    </w:p>
    <w:p w14:paraId="7692BA86">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【餐饮】酒店提供早餐</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bidi="ar"/>
          <w14:textFill>
            <w14:solidFill>
              <w14:schemeClr w14:val="tx1"/>
            </w14:solidFill>
          </w14:textFill>
        </w:rPr>
        <w:t>互联网。</w:t>
      </w:r>
    </w:p>
    <w:p w14:paraId="0B1B6D9D">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2125345" cy="1416685"/>
            <wp:effectExtent l="0" t="0" r="8255" b="12065"/>
            <wp:docPr id="1897089312" name="图片 1" descr="C:/Users/Administrator/Desktop/优良2.jpg优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9312" name="图片 1" descr="C:/Users/Administrator/Desktop/优良2.jpg优良2"/>
                    <pic:cNvPicPr>
                      <a:picLocks noChangeAspect="1"/>
                    </pic:cNvPicPr>
                  </pic:nvPicPr>
                  <pic:blipFill>
                    <a:blip r:embed="rId36"/>
                    <a:srcRect t="695" b="695"/>
                    <a:stretch>
                      <a:fillRect/>
                    </a:stretch>
                  </pic:blipFill>
                  <pic:spPr>
                    <a:xfrm>
                      <a:off x="0" y="0"/>
                      <a:ext cx="2125345" cy="1416685"/>
                    </a:xfrm>
                    <a:prstGeom prst="rect">
                      <a:avLst/>
                    </a:prstGeom>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0" distR="0">
            <wp:extent cx="2169795" cy="1391920"/>
            <wp:effectExtent l="0" t="0" r="1905" b="17780"/>
            <wp:docPr id="1231755939" name="图片 1" descr="C:/Users/Administrator/Desktop/优良3.jpg优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55939" name="图片 1" descr="C:/Users/Administrator/Desktop/优良3.jpg优良3"/>
                    <pic:cNvPicPr>
                      <a:picLocks noChangeAspect="1"/>
                    </pic:cNvPicPr>
                  </pic:nvPicPr>
                  <pic:blipFill>
                    <a:blip r:embed="rId37"/>
                    <a:srcRect t="7915" b="7915"/>
                    <a:stretch>
                      <a:fillRect/>
                    </a:stretch>
                  </pic:blipFill>
                  <pic:spPr>
                    <a:xfrm>
                      <a:off x="0" y="0"/>
                      <a:ext cx="2169795" cy="1391920"/>
                    </a:xfrm>
                    <a:prstGeom prst="rect">
                      <a:avLst/>
                    </a:prstGeom>
                  </pic:spPr>
                </pic:pic>
              </a:graphicData>
            </a:graphic>
          </wp:inline>
        </w:drawing>
      </w:r>
    </w:p>
    <w:p w14:paraId="2B51A9ED">
      <w:pPr>
        <w:rPr>
          <w:rFonts w:hint="eastAsia"/>
        </w:rPr>
      </w:pPr>
    </w:p>
    <w:p w14:paraId="434D6BDC">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新加坡境内交通：</w:t>
      </w:r>
    </w:p>
    <w:p w14:paraId="0B834B3E">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eastAsia="zh-CN"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项目包含新加坡境内</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学习</w:t>
      </w:r>
      <w:r>
        <w:rPr>
          <w:rFonts w:hint="eastAsia" w:ascii="微软雅黑" w:hAnsi="微软雅黑" w:eastAsia="微软雅黑" w:cs="微软雅黑"/>
          <w:color w:val="000000" w:themeColor="text1"/>
          <w:sz w:val="21"/>
          <w:szCs w:val="21"/>
          <w:lang w:bidi="ar"/>
          <w14:textFill>
            <w14:solidFill>
              <w14:schemeClr w14:val="tx1"/>
            </w14:solidFill>
          </w14:textFill>
        </w:rPr>
        <w:t>参访</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时统一行程的</w:t>
      </w:r>
      <w:r>
        <w:rPr>
          <w:rFonts w:hint="eastAsia" w:ascii="微软雅黑" w:hAnsi="微软雅黑" w:eastAsia="微软雅黑" w:cs="微软雅黑"/>
          <w:color w:val="000000" w:themeColor="text1"/>
          <w:sz w:val="21"/>
          <w:szCs w:val="21"/>
          <w:lang w:bidi="ar"/>
          <w14:textFill>
            <w14:solidFill>
              <w14:schemeClr w14:val="tx1"/>
            </w14:solidFill>
          </w14:textFill>
        </w:rPr>
        <w:t>交通费用</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p>
    <w:p w14:paraId="05C3FB58">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如</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果</w:t>
      </w:r>
      <w:r>
        <w:rPr>
          <w:rFonts w:hint="eastAsia" w:ascii="微软雅黑" w:hAnsi="微软雅黑" w:eastAsia="微软雅黑" w:cs="微软雅黑"/>
          <w:color w:val="000000" w:themeColor="text1"/>
          <w:sz w:val="21"/>
          <w:szCs w:val="21"/>
          <w:lang w:bidi="ar"/>
          <w14:textFill>
            <w14:solidFill>
              <w14:schemeClr w14:val="tx1"/>
            </w14:solidFill>
          </w14:textFill>
        </w:rPr>
        <w:t>同学们课外时间想要领略新加坡</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的</w:t>
      </w:r>
      <w:r>
        <w:rPr>
          <w:rFonts w:hint="eastAsia" w:ascii="微软雅黑" w:hAnsi="微软雅黑" w:eastAsia="微软雅黑" w:cs="微软雅黑"/>
          <w:color w:val="000000" w:themeColor="text1"/>
          <w:sz w:val="21"/>
          <w:szCs w:val="21"/>
          <w:lang w:bidi="ar"/>
          <w14:textFill>
            <w14:solidFill>
              <w14:schemeClr w14:val="tx1"/>
            </w14:solidFill>
          </w14:textFill>
        </w:rPr>
        <w:t>风采</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bidi="ar"/>
          <w14:textFill>
            <w14:solidFill>
              <w14:schemeClr w14:val="tx1"/>
            </w14:solidFill>
          </w14:textFill>
        </w:rPr>
        <w:t>交通费用由学生自理</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同学们可搭乘公交、地铁等交通工具出行。</w:t>
      </w:r>
    </w:p>
    <w:p w14:paraId="7E1A8301">
      <w:pPr>
        <w:jc w:val="center"/>
        <w:rPr>
          <w:rFonts w:hint="eastAsia"/>
          <w:lang w:val="en-US" w:eastAsia="zh-CN"/>
        </w:rPr>
      </w:pPr>
      <w:r>
        <w:rPr>
          <w:rFonts w:hint="eastAsia" w:ascii="微软雅黑" w:hAnsi="微软雅黑" w:eastAsia="微软雅黑" w:cs="微软雅黑"/>
        </w:rPr>
        <w:drawing>
          <wp:inline distT="0" distB="0" distL="0" distR="0">
            <wp:extent cx="3319145" cy="2360295"/>
            <wp:effectExtent l="0" t="0" r="14605" b="1905"/>
            <wp:docPr id="2013217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17678" name="图片 1"/>
                    <pic:cNvPicPr>
                      <a:picLocks noChangeAspect="1"/>
                    </pic:cNvPicPr>
                  </pic:nvPicPr>
                  <pic:blipFill>
                    <a:blip r:embed="rId38"/>
                    <a:stretch>
                      <a:fillRect/>
                    </a:stretch>
                  </pic:blipFill>
                  <pic:spPr>
                    <a:xfrm>
                      <a:off x="0" y="0"/>
                      <a:ext cx="3319145" cy="2360295"/>
                    </a:xfrm>
                    <a:prstGeom prst="rect">
                      <a:avLst/>
                    </a:prstGeom>
                  </pic:spPr>
                </pic:pic>
              </a:graphicData>
            </a:graphic>
          </wp:inline>
        </w:drawing>
      </w:r>
    </w:p>
    <w:p w14:paraId="61EEC85A">
      <w:pPr>
        <w:rPr>
          <w:rFonts w:hint="eastAsia"/>
        </w:rPr>
      </w:pPr>
    </w:p>
    <w:p w14:paraId="5BB8AEF6">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color w:val="262626"/>
          <w:spacing w:val="9"/>
          <w:sz w:val="24"/>
          <w:szCs w:val="24"/>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通信及网络：</w:t>
      </w:r>
      <w:r>
        <w:rPr>
          <w:rFonts w:hint="eastAsia" w:ascii="微软雅黑" w:hAnsi="微软雅黑" w:eastAsia="微软雅黑" w:cs="微软雅黑"/>
          <w:color w:val="262626"/>
          <w:spacing w:val="10"/>
          <w:sz w:val="21"/>
          <w:szCs w:val="21"/>
        </w:rPr>
        <w:t>学生可自费办理新加坡当地电话卡或开通国</w:t>
      </w:r>
      <w:r>
        <w:rPr>
          <w:rFonts w:hint="eastAsia" w:ascii="微软雅黑" w:hAnsi="微软雅黑" w:eastAsia="微软雅黑" w:cs="微软雅黑"/>
          <w:color w:val="262626"/>
          <w:spacing w:val="9"/>
          <w:sz w:val="21"/>
          <w:szCs w:val="21"/>
        </w:rPr>
        <w:t>际漫游</w:t>
      </w:r>
      <w:r>
        <w:rPr>
          <w:rFonts w:hint="eastAsia" w:ascii="微软雅黑" w:hAnsi="微软雅黑" w:eastAsia="微软雅黑" w:cs="微软雅黑"/>
          <w:color w:val="262626"/>
          <w:spacing w:val="9"/>
          <w:sz w:val="21"/>
          <w:szCs w:val="21"/>
          <w:lang w:eastAsia="zh-CN"/>
        </w:rPr>
        <w:t>。</w:t>
      </w:r>
    </w:p>
    <w:p w14:paraId="13D9FDA5">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海外保险：</w:t>
      </w:r>
      <w:r>
        <w:rPr>
          <w:rFonts w:hint="eastAsia" w:ascii="微软雅黑" w:hAnsi="微软雅黑" w:eastAsia="微软雅黑" w:cs="微软雅黑"/>
          <w:color w:val="262626"/>
          <w:spacing w:val="-55"/>
          <w:sz w:val="24"/>
          <w:szCs w:val="24"/>
        </w:rPr>
        <w:t xml:space="preserve"> </w:t>
      </w:r>
      <w:r>
        <w:rPr>
          <w:rFonts w:hint="eastAsia" w:ascii="微软雅黑" w:hAnsi="微软雅黑" w:eastAsia="微软雅黑" w:cs="微软雅黑"/>
          <w:color w:val="262626"/>
          <w:spacing w:val="8"/>
          <w:sz w:val="21"/>
          <w:szCs w:val="21"/>
        </w:rPr>
        <w:t>由主办方统一为学生购买，包含医疗保险和意外</w:t>
      </w:r>
      <w:r>
        <w:rPr>
          <w:rFonts w:hint="eastAsia" w:ascii="微软雅黑" w:hAnsi="微软雅黑" w:eastAsia="微软雅黑" w:cs="微软雅黑"/>
          <w:color w:val="262626"/>
          <w:spacing w:val="7"/>
          <w:sz w:val="21"/>
          <w:szCs w:val="21"/>
        </w:rPr>
        <w:t>保险</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7"/>
          <w:sz w:val="21"/>
          <w:szCs w:val="21"/>
          <w:lang w:val="en-US" w:eastAsia="zh-CN"/>
        </w:rPr>
        <w:t>无需学生单独付费购买</w:t>
      </w:r>
      <w:r>
        <w:rPr>
          <w:rFonts w:hint="eastAsia" w:ascii="微软雅黑" w:hAnsi="微软雅黑" w:eastAsia="微软雅黑" w:cs="微软雅黑"/>
          <w:color w:val="262626"/>
          <w:spacing w:val="7"/>
          <w:sz w:val="21"/>
          <w:szCs w:val="21"/>
          <w:lang w:eastAsia="zh-CN"/>
        </w:rPr>
        <w:t>）。</w:t>
      </w:r>
    </w:p>
    <w:p w14:paraId="17CF4863">
      <w:pPr>
        <w:rPr>
          <w:rFonts w:hint="eastAsia"/>
        </w:rPr>
      </w:pPr>
    </w:p>
    <w:p w14:paraId="3C980E14">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default" w:ascii="微软雅黑" w:hAnsi="微软雅黑" w:eastAsia="微软雅黑" w:cs="微软雅黑"/>
          <w:color w:val="262626"/>
          <w:spacing w:val="8"/>
          <w:sz w:val="24"/>
          <w:szCs w:val="24"/>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签证：</w:t>
      </w:r>
      <w:r>
        <w:rPr>
          <w:rFonts w:hint="eastAsia" w:ascii="微软雅黑" w:hAnsi="微软雅黑" w:eastAsia="微软雅黑" w:cs="微软雅黑"/>
          <w:color w:val="262626"/>
          <w:spacing w:val="8"/>
          <w:sz w:val="21"/>
          <w:szCs w:val="21"/>
          <w:lang w:val="en-US" w:eastAsia="zh-CN"/>
        </w:rPr>
        <w:t>持普通护照可以免签入境，停留不超过30日。入境时，护照有效期至少6个月。</w:t>
      </w:r>
    </w:p>
    <w:p w14:paraId="33218080">
      <w:pPr>
        <w:rPr>
          <w:rFonts w:hint="eastAsia"/>
        </w:rPr>
      </w:pPr>
    </w:p>
    <w:p w14:paraId="7C8638CC">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国际机票：</w:t>
      </w:r>
      <w:r>
        <w:rPr>
          <w:rFonts w:hint="eastAsia" w:ascii="微软雅黑" w:hAnsi="微软雅黑" w:eastAsia="微软雅黑" w:cs="微软雅黑"/>
          <w:color w:val="262626"/>
          <w:spacing w:val="7"/>
          <w:sz w:val="21"/>
          <w:szCs w:val="21"/>
        </w:rPr>
        <w:t>机票学生自行购买</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9"/>
          <w:sz w:val="21"/>
          <w:szCs w:val="21"/>
        </w:rPr>
        <w:t>主办方可以提供咨询服务</w:t>
      </w:r>
      <w:r>
        <w:rPr>
          <w:rFonts w:hint="eastAsia" w:ascii="微软雅黑" w:hAnsi="微软雅黑" w:eastAsia="微软雅黑" w:cs="微软雅黑"/>
          <w:color w:val="262626"/>
          <w:spacing w:val="9"/>
          <w:sz w:val="21"/>
          <w:szCs w:val="21"/>
          <w:lang w:eastAsia="zh-CN"/>
        </w:rPr>
        <w:t>。</w:t>
      </w:r>
    </w:p>
    <w:p w14:paraId="64F80AF6">
      <w:pPr>
        <w:rPr>
          <w:rFonts w:hint="eastAsia"/>
        </w:rPr>
      </w:pPr>
    </w:p>
    <w:p w14:paraId="77FDFC53">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接送机：</w:t>
      </w:r>
      <w:r>
        <w:rPr>
          <w:rFonts w:hint="eastAsia" w:ascii="微软雅黑" w:hAnsi="微软雅黑" w:eastAsia="微软雅黑" w:cs="微软雅黑"/>
          <w:color w:val="262626"/>
          <w:spacing w:val="8"/>
          <w:sz w:val="21"/>
          <w:szCs w:val="21"/>
        </w:rPr>
        <w:t>项目主办方会免费安排1-2班接</w:t>
      </w:r>
      <w:r>
        <w:rPr>
          <w:rFonts w:hint="eastAsia" w:ascii="微软雅黑" w:hAnsi="微软雅黑" w:eastAsia="微软雅黑" w:cs="微软雅黑"/>
          <w:color w:val="262626"/>
          <w:spacing w:val="8"/>
          <w:sz w:val="21"/>
          <w:szCs w:val="21"/>
          <w:lang w:val="en-US" w:eastAsia="zh-CN"/>
        </w:rPr>
        <w:t>送</w:t>
      </w:r>
      <w:r>
        <w:rPr>
          <w:rFonts w:hint="eastAsia" w:ascii="微软雅黑" w:hAnsi="微软雅黑" w:eastAsia="微软雅黑" w:cs="微软雅黑"/>
          <w:color w:val="262626"/>
          <w:spacing w:val="8"/>
          <w:sz w:val="21"/>
          <w:szCs w:val="21"/>
        </w:rPr>
        <w:t>机服务（根据团组人数</w:t>
      </w:r>
      <w:r>
        <w:rPr>
          <w:rFonts w:hint="eastAsia" w:ascii="微软雅黑" w:hAnsi="微软雅黑" w:eastAsia="微软雅黑" w:cs="微软雅黑"/>
          <w:color w:val="262626"/>
          <w:spacing w:val="8"/>
          <w:sz w:val="21"/>
          <w:szCs w:val="21"/>
          <w:lang w:val="en-US" w:eastAsia="zh-CN"/>
        </w:rPr>
        <w:t>与航班信息确定）。</w:t>
      </w:r>
    </w:p>
    <w:p w14:paraId="7D03175E">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1"/>
          <w:szCs w:val="21"/>
          <w:lang w:val="en-US" w:eastAsia="en-US"/>
        </w:rPr>
      </w:pPr>
    </w:p>
    <w:p w14:paraId="3F0FBE81">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项目咨询：</w:t>
      </w:r>
    </w:p>
    <w:p w14:paraId="2F4A4759">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项目方负责人：谢老师 18516384883（微信同号）</w:t>
      </w:r>
    </w:p>
    <w:p w14:paraId="53D7FCA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微软雅黑" w:hAnsi="微软雅黑" w:eastAsia="微软雅黑" w:cs="微软雅黑"/>
          <w:b/>
          <w:bCs/>
          <w:sz w:val="21"/>
          <w:szCs w:val="21"/>
          <w:lang w:val="en-US" w:eastAsia="zh-CN"/>
        </w:rPr>
      </w:pPr>
      <w:r>
        <w:rPr>
          <w:rFonts w:hint="default"/>
          <w:lang w:val="en-US" w:eastAsia="zh-CN"/>
        </w:rPr>
        <w:drawing>
          <wp:inline distT="0" distB="0" distL="114300" distR="114300">
            <wp:extent cx="1393190" cy="1407160"/>
            <wp:effectExtent l="0" t="0" r="16510" b="2540"/>
            <wp:docPr id="1" name="图片 1" descr="谢老师微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谢老师微信(1)"/>
                    <pic:cNvPicPr>
                      <a:picLocks noChangeAspect="1"/>
                    </pic:cNvPicPr>
                  </pic:nvPicPr>
                  <pic:blipFill>
                    <a:blip r:embed="rId39"/>
                    <a:stretch>
                      <a:fillRect/>
                    </a:stretch>
                  </pic:blipFill>
                  <pic:spPr>
                    <a:xfrm>
                      <a:off x="0" y="0"/>
                      <a:ext cx="1393190" cy="1407160"/>
                    </a:xfrm>
                    <a:prstGeom prst="rect">
                      <a:avLst/>
                    </a:prstGeom>
                  </pic:spPr>
                </pic:pic>
              </a:graphicData>
            </a:graphic>
          </wp:inline>
        </w:drawing>
      </w:r>
      <w:r>
        <w:rPr>
          <w:rFonts w:hint="eastAsia" w:ascii="微软雅黑" w:hAnsi="微软雅黑" w:eastAsia="微软雅黑" w:cs="微软雅黑"/>
          <w:sz w:val="21"/>
          <w:szCs w:val="21"/>
          <w:lang w:val="en-US" w:eastAsia="zh-CN"/>
        </w:rPr>
        <w:t>（扫码添加微信）</w:t>
      </w:r>
      <w:bookmarkStart w:id="0" w:name="_GoBack"/>
      <w:bookmarkEnd w:id="0"/>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4E69">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28E5E"/>
    <w:multiLevelType w:val="singleLevel"/>
    <w:tmpl w:val="C9528E5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F9CF7F2D"/>
    <w:rsid w:val="000362F3"/>
    <w:rsid w:val="00043CD2"/>
    <w:rsid w:val="00206E55"/>
    <w:rsid w:val="00463373"/>
    <w:rsid w:val="006C01DA"/>
    <w:rsid w:val="007045A1"/>
    <w:rsid w:val="00713567"/>
    <w:rsid w:val="0088274B"/>
    <w:rsid w:val="008C535E"/>
    <w:rsid w:val="008F2429"/>
    <w:rsid w:val="00920147"/>
    <w:rsid w:val="009D7CC2"/>
    <w:rsid w:val="009E6977"/>
    <w:rsid w:val="009F205B"/>
    <w:rsid w:val="00A01EB7"/>
    <w:rsid w:val="00A45B0F"/>
    <w:rsid w:val="00AF4D52"/>
    <w:rsid w:val="00BB563A"/>
    <w:rsid w:val="00D379EE"/>
    <w:rsid w:val="00D42419"/>
    <w:rsid w:val="00D47F43"/>
    <w:rsid w:val="00E27CE1"/>
    <w:rsid w:val="00E645F5"/>
    <w:rsid w:val="00E64BB5"/>
    <w:rsid w:val="00EF3554"/>
    <w:rsid w:val="00F053BF"/>
    <w:rsid w:val="00F84C63"/>
    <w:rsid w:val="00F86C73"/>
    <w:rsid w:val="00F90F89"/>
    <w:rsid w:val="00F95A1D"/>
    <w:rsid w:val="00FA6C67"/>
    <w:rsid w:val="01445BAC"/>
    <w:rsid w:val="016A72B4"/>
    <w:rsid w:val="0187748A"/>
    <w:rsid w:val="042C58C6"/>
    <w:rsid w:val="05E16DC5"/>
    <w:rsid w:val="07951A88"/>
    <w:rsid w:val="07F36299"/>
    <w:rsid w:val="07F4578F"/>
    <w:rsid w:val="0907702F"/>
    <w:rsid w:val="097924AD"/>
    <w:rsid w:val="0B13156C"/>
    <w:rsid w:val="0D9A3DC8"/>
    <w:rsid w:val="0E3971CF"/>
    <w:rsid w:val="0EBB70C4"/>
    <w:rsid w:val="105B5FB3"/>
    <w:rsid w:val="10750781"/>
    <w:rsid w:val="11131439"/>
    <w:rsid w:val="11317B11"/>
    <w:rsid w:val="12903AA2"/>
    <w:rsid w:val="12EC1F42"/>
    <w:rsid w:val="12F572A6"/>
    <w:rsid w:val="143A0A8B"/>
    <w:rsid w:val="146A4C31"/>
    <w:rsid w:val="18382434"/>
    <w:rsid w:val="196327B1"/>
    <w:rsid w:val="19FB5C88"/>
    <w:rsid w:val="1A292427"/>
    <w:rsid w:val="1B530684"/>
    <w:rsid w:val="1BAE581B"/>
    <w:rsid w:val="1BCC2910"/>
    <w:rsid w:val="1E996EF9"/>
    <w:rsid w:val="1FCF6E73"/>
    <w:rsid w:val="1FEE3332"/>
    <w:rsid w:val="21190C88"/>
    <w:rsid w:val="21E34AB7"/>
    <w:rsid w:val="232F72E5"/>
    <w:rsid w:val="2379043D"/>
    <w:rsid w:val="2661634B"/>
    <w:rsid w:val="2693339F"/>
    <w:rsid w:val="2A0B0AA8"/>
    <w:rsid w:val="2B8C29EC"/>
    <w:rsid w:val="2C1B6F9C"/>
    <w:rsid w:val="2C4B5AD3"/>
    <w:rsid w:val="2EA37940"/>
    <w:rsid w:val="2EBD2000"/>
    <w:rsid w:val="2EC90C15"/>
    <w:rsid w:val="2F4D1B62"/>
    <w:rsid w:val="2FA0417A"/>
    <w:rsid w:val="2FE222AB"/>
    <w:rsid w:val="302A3C52"/>
    <w:rsid w:val="33E13858"/>
    <w:rsid w:val="340D7B12"/>
    <w:rsid w:val="35374E47"/>
    <w:rsid w:val="35AF70D3"/>
    <w:rsid w:val="35BF52B2"/>
    <w:rsid w:val="3758265C"/>
    <w:rsid w:val="37712B30"/>
    <w:rsid w:val="379E284F"/>
    <w:rsid w:val="37CD5040"/>
    <w:rsid w:val="38285776"/>
    <w:rsid w:val="3A422146"/>
    <w:rsid w:val="3B556027"/>
    <w:rsid w:val="3C385A3F"/>
    <w:rsid w:val="3C4E2A76"/>
    <w:rsid w:val="3EB067B2"/>
    <w:rsid w:val="410703C2"/>
    <w:rsid w:val="4153125A"/>
    <w:rsid w:val="41664E4D"/>
    <w:rsid w:val="421123AE"/>
    <w:rsid w:val="42353CCD"/>
    <w:rsid w:val="42FB6FC1"/>
    <w:rsid w:val="434507EC"/>
    <w:rsid w:val="44683056"/>
    <w:rsid w:val="45880BDF"/>
    <w:rsid w:val="48F13A80"/>
    <w:rsid w:val="49501428"/>
    <w:rsid w:val="49B63529"/>
    <w:rsid w:val="4AB41B49"/>
    <w:rsid w:val="4B1732F9"/>
    <w:rsid w:val="4C0344C2"/>
    <w:rsid w:val="4D1473C4"/>
    <w:rsid w:val="4D1D096E"/>
    <w:rsid w:val="4D3A32CE"/>
    <w:rsid w:val="4D3D487B"/>
    <w:rsid w:val="4E5E4D9B"/>
    <w:rsid w:val="4F8D7DF6"/>
    <w:rsid w:val="50063DD3"/>
    <w:rsid w:val="51281690"/>
    <w:rsid w:val="51B178D7"/>
    <w:rsid w:val="526E548C"/>
    <w:rsid w:val="52987BE1"/>
    <w:rsid w:val="546647FF"/>
    <w:rsid w:val="54D67EA1"/>
    <w:rsid w:val="554C2C41"/>
    <w:rsid w:val="56332FB1"/>
    <w:rsid w:val="563A7F05"/>
    <w:rsid w:val="56977FCF"/>
    <w:rsid w:val="582F6A50"/>
    <w:rsid w:val="597873B3"/>
    <w:rsid w:val="5B0B62AA"/>
    <w:rsid w:val="5C9A1694"/>
    <w:rsid w:val="5CD047B8"/>
    <w:rsid w:val="5D155535"/>
    <w:rsid w:val="5D876557"/>
    <w:rsid w:val="5DD30AEC"/>
    <w:rsid w:val="5F290805"/>
    <w:rsid w:val="5FD117C0"/>
    <w:rsid w:val="5FE97403"/>
    <w:rsid w:val="63F96601"/>
    <w:rsid w:val="662F1216"/>
    <w:rsid w:val="66A35F8E"/>
    <w:rsid w:val="673D1557"/>
    <w:rsid w:val="679F4C87"/>
    <w:rsid w:val="68950C13"/>
    <w:rsid w:val="68993147"/>
    <w:rsid w:val="69625B06"/>
    <w:rsid w:val="6ABB225B"/>
    <w:rsid w:val="6B596E94"/>
    <w:rsid w:val="6B6A0DCB"/>
    <w:rsid w:val="6BE24E05"/>
    <w:rsid w:val="6DF27F6E"/>
    <w:rsid w:val="6E31670A"/>
    <w:rsid w:val="6E65280C"/>
    <w:rsid w:val="6EC757E0"/>
    <w:rsid w:val="6F791701"/>
    <w:rsid w:val="71922E29"/>
    <w:rsid w:val="724A7260"/>
    <w:rsid w:val="72AF65B7"/>
    <w:rsid w:val="72FC67AC"/>
    <w:rsid w:val="73AE50CD"/>
    <w:rsid w:val="75E12BAC"/>
    <w:rsid w:val="76C44C2F"/>
    <w:rsid w:val="7726295E"/>
    <w:rsid w:val="776D3018"/>
    <w:rsid w:val="77C267CE"/>
    <w:rsid w:val="799A4544"/>
    <w:rsid w:val="79D264B9"/>
    <w:rsid w:val="7DEF72AE"/>
    <w:rsid w:val="915E4A4F"/>
    <w:rsid w:val="F9CF7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widowControl w:val="0"/>
      <w:autoSpaceDE w:val="0"/>
      <w:autoSpaceDN w:val="0"/>
      <w:spacing w:before="163"/>
    </w:pPr>
    <w:rPr>
      <w:rFonts w:ascii="仿宋" w:hAnsi="仿宋" w:eastAsia="仿宋" w:cs="仿宋"/>
      <w:sz w:val="36"/>
      <w:szCs w:val="36"/>
      <w:lang w:val="zh-CN" w:bidi="zh-CN"/>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autoRedefine/>
    <w:qFormat/>
    <w:uiPriority w:val="0"/>
    <w:rPr>
      <w:color w:val="0000FF"/>
      <w:u w:val="single"/>
    </w:rPr>
  </w:style>
  <w:style w:type="paragraph" w:styleId="11">
    <w:name w:val="List Paragraph"/>
    <w:basedOn w:val="1"/>
    <w:autoRedefine/>
    <w:qFormat/>
    <w:uiPriority w:val="99"/>
    <w:pPr>
      <w:widowControl w:val="0"/>
      <w:ind w:firstLine="420" w:firstLineChars="200"/>
      <w:jc w:val="both"/>
    </w:pPr>
    <w:rPr>
      <w:rFonts w:ascii="Calibri" w:hAnsi="Calibri" w:eastAsia="宋体" w:cs="Times New Roman"/>
      <w:kern w:val="2"/>
      <w:sz w:val="21"/>
    </w:rPr>
  </w:style>
  <w:style w:type="paragraph" w:customStyle="1" w:styleId="12">
    <w:name w:val="列表段落1"/>
    <w:basedOn w:val="1"/>
    <w:autoRedefine/>
    <w:qFormat/>
    <w:uiPriority w:val="34"/>
    <w:pPr>
      <w:ind w:firstLine="420" w:firstLineChars="200"/>
    </w:pPr>
  </w:style>
  <w:style w:type="character" w:customStyle="1" w:styleId="13">
    <w:name w:val="pp-place-title"/>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5573</Words>
  <Characters>6696</Characters>
  <Lines>20</Lines>
  <Paragraphs>5</Paragraphs>
  <TotalTime>0</TotalTime>
  <ScaleCrop>false</ScaleCrop>
  <LinksUpToDate>false</LinksUpToDate>
  <CharactersWithSpaces>6918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2024-03-05T02:12:00Z</dcterms:created>
  <dc:creator>張小e❓</dc:creator>
  <cp:lastModifiedBy>项目指导老师-谢老师</cp:lastModifiedBy>
  <cp:lastPrinted>2024-03-06T09:28:00Z</cp:lastPrinted>
  <dcterms:modified xsi:type="dcterms:W3CDTF">2026-03-19T02:03:02Z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1093BC497AD34F48BC31CC74A0AFF6DE_13</vt:lpwstr>
  </property>
  <property fmtid="{D5CDD505-2E9C-101B-9397-08002B2CF9AE}" pid="4" name="KSOTemplateDocerSaveRecord">
    <vt:lpwstr>eyJoZGlkIjoiMmFmMWIyNzAzM2M1MzUxZTk3N2Y5ZmE3OWY4OTU2NmQiLCJ1c2VySWQiOiIxNTEzMTQyMTI4In0=</vt:lpwstr>
  </property>
</Properties>
</file>