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D4C171">
      <w:pPr>
        <w:rPr>
          <w:rFonts w:hint="eastAsia"/>
          <w:sz w:val="30"/>
          <w:szCs w:val="30"/>
        </w:rPr>
      </w:pPr>
    </w:p>
    <w:p w14:paraId="747D6AF7">
      <w:pPr>
        <w:rPr>
          <w:rFonts w:hint="eastAsia"/>
          <w:sz w:val="44"/>
          <w:szCs w:val="44"/>
        </w:rPr>
      </w:pPr>
      <w:r>
        <w:rPr>
          <w:rFonts w:hint="eastAsia"/>
          <w:sz w:val="44"/>
          <w:szCs w:val="44"/>
        </w:rPr>
        <w:drawing>
          <wp:inline distT="0" distB="0" distL="114300" distR="114300">
            <wp:extent cx="5266690" cy="5215890"/>
            <wp:effectExtent l="0" t="0" r="0" b="0"/>
            <wp:docPr id="7" name="图片 7" descr="b5a09d4fad993aafdb0ffe6c8e66c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5a09d4fad993aafdb0ffe6c8e66c709"/>
                    <pic:cNvPicPr>
                      <a:picLocks noChangeAspect="1"/>
                    </pic:cNvPicPr>
                  </pic:nvPicPr>
                  <pic:blipFill>
                    <a:blip r:embed="rId5"/>
                    <a:srcRect t="9978" b="5087"/>
                    <a:stretch>
                      <a:fillRect/>
                    </a:stretch>
                  </pic:blipFill>
                  <pic:spPr>
                    <a:xfrm>
                      <a:off x="0" y="0"/>
                      <a:ext cx="5266690" cy="5215890"/>
                    </a:xfrm>
                    <a:prstGeom prst="rect">
                      <a:avLst/>
                    </a:prstGeom>
                  </pic:spPr>
                </pic:pic>
              </a:graphicData>
            </a:graphic>
          </wp:inline>
        </w:drawing>
      </w:r>
    </w:p>
    <w:p w14:paraId="381F7E5D">
      <w:pPr>
        <w:rPr>
          <w:rFonts w:hint="eastAsia"/>
        </w:rPr>
      </w:pPr>
    </w:p>
    <w:p w14:paraId="20BB006C">
      <w:pPr>
        <w:rPr>
          <w:rFonts w:hint="eastAsia"/>
        </w:rPr>
      </w:pPr>
    </w:p>
    <w:p w14:paraId="790BE3F5">
      <w:pPr>
        <w:rPr>
          <w:rFonts w:hint="eastAsia"/>
        </w:rPr>
      </w:pPr>
    </w:p>
    <w:p w14:paraId="44D8E22D">
      <w:pPr>
        <w:spacing w:line="360" w:lineRule="auto"/>
        <w:jc w:val="center"/>
        <w:rPr>
          <w:rFonts w:hint="eastAsia" w:ascii="微软雅黑" w:hAnsi="微软雅黑" w:eastAsia="微软雅黑" w:cs="微软雅黑"/>
          <w:b/>
          <w:bCs/>
          <w:lang w:val="en-US" w:eastAsia="zh-CN"/>
        </w:rPr>
      </w:pPr>
      <w:r>
        <w:rPr>
          <w:rStyle w:val="14"/>
          <w:rFonts w:hint="eastAsia" w:ascii="微软雅黑" w:hAnsi="微软雅黑" w:eastAsia="微软雅黑" w:cs="微软雅黑"/>
          <w:b/>
          <w:color w:val="000000" w:themeColor="text1"/>
          <w:sz w:val="44"/>
          <w:szCs w:val="44"/>
          <w14:textFill>
            <w14:solidFill>
              <w14:schemeClr w14:val="tx1"/>
            </w14:solidFill>
          </w14:textFill>
        </w:rPr>
        <w:t>2026年暑期名校进名企（韩国·首尔）项目</w:t>
      </w:r>
    </w:p>
    <w:p w14:paraId="78339C3A">
      <w:pPr>
        <w:spacing w:line="360" w:lineRule="auto"/>
        <w:rPr>
          <w:rFonts w:hint="eastAsia" w:ascii="微软雅黑" w:hAnsi="微软雅黑" w:eastAsia="微软雅黑" w:cs="微软雅黑"/>
          <w:b/>
          <w:bCs/>
        </w:rPr>
      </w:pPr>
    </w:p>
    <w:p w14:paraId="45CBC659">
      <w:pPr>
        <w:spacing w:line="360" w:lineRule="auto"/>
        <w:rPr>
          <w:rFonts w:hint="eastAsia" w:ascii="微软雅黑" w:hAnsi="微软雅黑" w:eastAsia="微软雅黑" w:cs="微软雅黑"/>
          <w:b/>
          <w:bCs/>
        </w:rPr>
      </w:pPr>
    </w:p>
    <w:p w14:paraId="2EE5EB00">
      <w:pPr>
        <w:spacing w:line="360" w:lineRule="auto"/>
        <w:rPr>
          <w:rFonts w:hint="eastAsia" w:ascii="微软雅黑" w:hAnsi="微软雅黑" w:eastAsia="微软雅黑" w:cs="微软雅黑"/>
          <w:b/>
          <w:bCs/>
        </w:rPr>
      </w:pPr>
    </w:p>
    <w:p w14:paraId="0C8DECFB">
      <w:pPr>
        <w:spacing w:line="360" w:lineRule="auto"/>
        <w:rPr>
          <w:rFonts w:hint="eastAsia" w:ascii="微软雅黑" w:hAnsi="微软雅黑" w:eastAsia="微软雅黑" w:cs="微软雅黑"/>
          <w:b/>
          <w:bCs/>
        </w:rPr>
        <w:sectPr>
          <w:pgSz w:w="11906" w:h="16838"/>
          <w:pgMar w:top="1440" w:right="1800" w:bottom="1440" w:left="1800" w:header="851" w:footer="992" w:gutter="0"/>
          <w:cols w:space="425" w:num="1"/>
          <w:docGrid w:type="lines" w:linePitch="312" w:charSpace="0"/>
        </w:sectPr>
      </w:pPr>
    </w:p>
    <w:p w14:paraId="09EE81E3">
      <w:pPr>
        <w:spacing w:line="360" w:lineRule="auto"/>
        <w:rPr>
          <w:rFonts w:hint="eastAsia" w:ascii="微软雅黑" w:hAnsi="微软雅黑" w:eastAsia="微软雅黑" w:cs="微软雅黑"/>
          <w:b/>
          <w:bCs/>
          <w:lang w:val="en-US" w:eastAsia="zh-CN"/>
        </w:rPr>
      </w:pPr>
      <w:r>
        <w:rPr>
          <w:rFonts w:hint="eastAsia" w:ascii="微软雅黑" w:hAnsi="微软雅黑" w:eastAsia="微软雅黑" w:cs="微软雅黑"/>
          <w:b/>
          <w:bCs/>
        </w:rPr>
        <w:t>项目</w:t>
      </w:r>
      <w:r>
        <w:rPr>
          <w:rFonts w:hint="eastAsia" w:ascii="微软雅黑" w:hAnsi="微软雅黑" w:eastAsia="微软雅黑" w:cs="微软雅黑"/>
          <w:b/>
          <w:bCs/>
          <w:lang w:val="en-US" w:eastAsia="zh-CN"/>
        </w:rPr>
        <w:t>背景</w:t>
      </w:r>
    </w:p>
    <w:p w14:paraId="571B0F2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sz w:val="21"/>
          <w:szCs w:val="21"/>
          <w:highlight w:val="none"/>
          <w:lang w:val="en-US" w:eastAsia="zh-CN" w:bidi="ar"/>
        </w:rPr>
      </w:pPr>
      <w:r>
        <w:rPr>
          <w:rFonts w:hint="eastAsia" w:ascii="微软雅黑" w:hAnsi="微软雅黑" w:eastAsia="微软雅黑" w:cs="微软雅黑"/>
          <w:color w:val="000000"/>
          <w:sz w:val="21"/>
          <w:szCs w:val="21"/>
          <w:highlight w:val="none"/>
          <w:lang w:val="en-US" w:eastAsia="zh-CN" w:bidi="ar"/>
        </w:rPr>
        <w:t>在数字技术变革和产业经济加剧升级优化的双重驱动下，培养具有国际视野、跨文化协作能力与前沿产业认知的高素质人才，切实提升学生国际竞争力和就业能力，已成为高等教育的重要使命。韩国作为亚洲重要的创新引擎与创新经济的代表，其在高等教育、科技创新、产业升级等领域的成就举世瞩目。首尔大学作为韩国最高学府，代表了亚洲顶尖的学术水准与研究实力；而三星、现代、LG、SK海力士等韩国领军企业，则以其卓越的管理模式、技术创新和全球战略，持续引领行业发展。</w:t>
      </w:r>
    </w:p>
    <w:p w14:paraId="1C46AA67">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sz w:val="21"/>
          <w:szCs w:val="21"/>
          <w:highlight w:val="none"/>
          <w:lang w:val="en-US" w:eastAsia="zh-CN" w:bidi="ar"/>
        </w:rPr>
      </w:pPr>
      <w:r>
        <w:rPr>
          <w:rFonts w:hint="eastAsia" w:ascii="微软雅黑" w:hAnsi="微软雅黑" w:eastAsia="微软雅黑" w:cs="微软雅黑"/>
          <w:color w:val="000000"/>
          <w:sz w:val="21"/>
          <w:szCs w:val="21"/>
          <w:highlight w:val="none"/>
          <w:lang w:val="en-US" w:eastAsia="zh-CN" w:bidi="ar"/>
        </w:rPr>
        <w:t>在此背景下，推出此次“名校进名企（韩国·首尔）项目”。本项目为期7天，学生赴首尔大学、梨花女子大学学习、交流、参访，深入韩国知名企业参访交流，打造“学术+产业”双轨制访学体验。项目旨在为学生搭建一个深度接触韩国顶尖教育、感知前沿产业动态、理解社会文化差异的交流平台，项目将学术交流、企业参访、文化体验有机融合，不仅是一次海外学习之旅，更是一次视野拓展、思维碰撞与能力提升的成长契机。</w:t>
      </w:r>
    </w:p>
    <w:p w14:paraId="43DC956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spacing w:val="-4"/>
          <w:sz w:val="21"/>
          <w:szCs w:val="21"/>
          <w:highlight w:val="none"/>
          <w:lang w:val="en-US" w:eastAsia="zh-CN"/>
        </w:rPr>
      </w:pPr>
      <w:r>
        <w:rPr>
          <w:rFonts w:hint="eastAsia" w:ascii="微软雅黑" w:hAnsi="微软雅黑" w:eastAsia="微软雅黑" w:cs="微软雅黑"/>
          <w:color w:val="000000"/>
          <w:sz w:val="21"/>
          <w:szCs w:val="21"/>
          <w:highlight w:val="none"/>
          <w:lang w:val="en-US" w:eastAsia="zh-CN" w:bidi="ar"/>
        </w:rPr>
        <w:t>我们期待通过此次研习，助力参与者连接理论知识与产业实践、拓宽国际人脉网络、提升全球竞争力；助力参与者</w:t>
      </w:r>
      <w:r>
        <w:rPr>
          <w:rFonts w:hint="eastAsia" w:ascii="微软雅黑" w:hAnsi="微软雅黑" w:eastAsia="微软雅黑" w:cs="微软雅黑"/>
          <w:color w:val="000000"/>
          <w:sz w:val="21"/>
          <w:szCs w:val="21"/>
          <w:highlight w:val="none"/>
          <w:lang w:val="en-US" w:bidi="ar"/>
        </w:rPr>
        <w:t>深刻了解前沿行业、规划职业发展、赋能职业技能</w:t>
      </w:r>
      <w:r>
        <w:rPr>
          <w:rFonts w:hint="eastAsia" w:ascii="微软雅黑" w:hAnsi="微软雅黑" w:eastAsia="微软雅黑" w:cs="微软雅黑"/>
          <w:color w:val="000000"/>
          <w:sz w:val="21"/>
          <w:szCs w:val="21"/>
          <w:highlight w:val="none"/>
          <w:lang w:val="en-US" w:eastAsia="zh-CN" w:bidi="ar"/>
        </w:rPr>
        <w:t>、</w:t>
      </w:r>
      <w:r>
        <w:rPr>
          <w:rFonts w:hint="eastAsia" w:ascii="微软雅黑" w:hAnsi="微软雅黑" w:eastAsia="微软雅黑" w:cs="微软雅黑"/>
          <w:color w:val="000000"/>
          <w:sz w:val="21"/>
          <w:szCs w:val="21"/>
          <w:highlight w:val="none"/>
          <w:lang w:val="en-US" w:bidi="ar"/>
        </w:rPr>
        <w:t>树立职业信心，</w:t>
      </w:r>
      <w:r>
        <w:rPr>
          <w:rFonts w:hint="eastAsia" w:ascii="微软雅黑" w:hAnsi="微软雅黑" w:eastAsia="微软雅黑" w:cs="微软雅黑"/>
          <w:color w:val="000000"/>
          <w:sz w:val="21"/>
          <w:szCs w:val="21"/>
          <w:highlight w:val="none"/>
          <w:lang w:val="en-US" w:eastAsia="zh-CN" w:bidi="ar"/>
        </w:rPr>
        <w:t>增强跨文化交流能力，</w:t>
      </w:r>
      <w:r>
        <w:rPr>
          <w:rFonts w:hint="eastAsia" w:ascii="微软雅黑" w:hAnsi="微软雅黑" w:eastAsia="微软雅黑" w:cs="微软雅黑"/>
          <w:color w:val="000000"/>
          <w:sz w:val="21"/>
          <w:szCs w:val="21"/>
          <w:highlight w:val="none"/>
          <w:lang w:val="en-US" w:bidi="ar"/>
        </w:rPr>
        <w:t>帮助</w:t>
      </w:r>
      <w:r>
        <w:rPr>
          <w:rFonts w:hint="eastAsia" w:ascii="微软雅黑" w:hAnsi="微软雅黑" w:eastAsia="微软雅黑" w:cs="微软雅黑"/>
          <w:color w:val="000000"/>
          <w:sz w:val="21"/>
          <w:szCs w:val="21"/>
          <w:highlight w:val="none"/>
          <w:lang w:val="en-US" w:eastAsia="zh-CN" w:bidi="ar"/>
        </w:rPr>
        <w:t>参与者</w:t>
      </w:r>
      <w:r>
        <w:rPr>
          <w:rFonts w:hint="eastAsia" w:ascii="微软雅黑" w:hAnsi="微软雅黑" w:eastAsia="微软雅黑" w:cs="微软雅黑"/>
          <w:color w:val="000000"/>
          <w:sz w:val="21"/>
          <w:szCs w:val="21"/>
          <w:highlight w:val="none"/>
          <w:lang w:val="en-US" w:bidi="ar"/>
        </w:rPr>
        <w:t>对企业需求有更准确的认知。</w:t>
      </w:r>
    </w:p>
    <w:p w14:paraId="10E22618">
      <w:pPr>
        <w:spacing w:line="360" w:lineRule="auto"/>
        <w:ind w:firstLine="420" w:firstLineChars="200"/>
        <w:rPr>
          <w:rFonts w:ascii="仿宋" w:hAnsi="仿宋" w:eastAsia="仿宋"/>
          <w:color w:val="000000"/>
          <w:sz w:val="21"/>
          <w:szCs w:val="21"/>
          <w:lang w:bidi="ar"/>
        </w:rPr>
      </w:pPr>
    </w:p>
    <w:p w14:paraId="44B467AD">
      <w:pPr>
        <w:pStyle w:val="2"/>
        <w:spacing w:before="0" w:line="360" w:lineRule="auto"/>
        <w:ind w:right="113"/>
        <w:rPr>
          <w:rFonts w:hint="eastAsia"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val="en-US"/>
        </w:rPr>
        <w:t>项目亮点：</w:t>
      </w:r>
    </w:p>
    <w:p w14:paraId="57AE0873">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eastAsia" w:ascii="微软雅黑" w:hAnsi="微软雅黑" w:eastAsia="微软雅黑" w:cs="微软雅黑"/>
          <w:spacing w:val="-4"/>
          <w:sz w:val="21"/>
          <w:szCs w:val="21"/>
          <w:lang w:val="en-US" w:eastAsia="zh-CN"/>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highlight w:val="none"/>
          <w:lang w:val="en-US" w:eastAsia="zh-CN"/>
        </w:rPr>
        <w:t>首尔大学、梨花女子大学参访、</w:t>
      </w:r>
      <w:r>
        <w:rPr>
          <w:rFonts w:hint="eastAsia" w:ascii="微软雅黑" w:hAnsi="微软雅黑" w:eastAsia="微软雅黑" w:cs="微软雅黑"/>
          <w:spacing w:val="-4"/>
          <w:sz w:val="21"/>
          <w:szCs w:val="21"/>
          <w:highlight w:val="none"/>
          <w:lang w:val="en-US"/>
        </w:rPr>
        <w:t>学习与交流</w:t>
      </w:r>
      <w:r>
        <w:rPr>
          <w:rFonts w:hint="eastAsia" w:ascii="微软雅黑" w:hAnsi="微软雅黑" w:eastAsia="微软雅黑" w:cs="微软雅黑"/>
          <w:spacing w:val="-4"/>
          <w:sz w:val="21"/>
          <w:szCs w:val="21"/>
          <w:highlight w:val="none"/>
          <w:lang w:val="en-US" w:eastAsia="zh-CN"/>
        </w:rPr>
        <w:t>；</w:t>
      </w:r>
    </w:p>
    <w:p w14:paraId="18ADB5E7">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default" w:ascii="微软雅黑" w:hAnsi="微软雅黑" w:eastAsia="微软雅黑" w:cs="微软雅黑"/>
          <w:spacing w:val="-4"/>
          <w:sz w:val="21"/>
          <w:szCs w:val="21"/>
          <w:lang w:val="en-US" w:eastAsia="zh-CN"/>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lang w:val="en-US"/>
        </w:rPr>
        <w:t>深入</w:t>
      </w:r>
      <w:r>
        <w:rPr>
          <w:rFonts w:hint="eastAsia" w:ascii="微软雅黑" w:hAnsi="微软雅黑" w:eastAsia="微软雅黑" w:cs="微软雅黑"/>
          <w:spacing w:val="-4"/>
          <w:sz w:val="21"/>
          <w:szCs w:val="21"/>
          <w:lang w:val="en-US" w:eastAsia="zh-CN"/>
        </w:rPr>
        <w:t>韩国知名企业进行交流访问学习，与行业、企业管理者、业务骨干进行深度行业交流与探讨；</w:t>
      </w:r>
    </w:p>
    <w:p w14:paraId="7FFE876F">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default" w:ascii="微软雅黑" w:hAnsi="微软雅黑" w:eastAsia="微软雅黑" w:cs="微软雅黑"/>
          <w:spacing w:val="-4"/>
          <w:sz w:val="21"/>
          <w:szCs w:val="21"/>
          <w:lang w:val="en-US" w:eastAsia="zh-CN"/>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lang w:val="en-US" w:eastAsia="zh-CN"/>
        </w:rPr>
        <w:t>与高校</w:t>
      </w:r>
      <w:r>
        <w:rPr>
          <w:rFonts w:hint="eastAsia" w:ascii="微软雅黑" w:hAnsi="微软雅黑" w:eastAsia="微软雅黑" w:cs="微软雅黑"/>
          <w:spacing w:val="-4"/>
          <w:sz w:val="21"/>
          <w:szCs w:val="21"/>
          <w:lang w:val="en-US"/>
        </w:rPr>
        <w:t>教授</w:t>
      </w:r>
      <w:r>
        <w:rPr>
          <w:rFonts w:hint="eastAsia" w:ascii="微软雅黑" w:hAnsi="微软雅黑" w:eastAsia="微软雅黑" w:cs="微软雅黑"/>
          <w:spacing w:val="-4"/>
          <w:sz w:val="21"/>
          <w:szCs w:val="21"/>
          <w:lang w:val="en-US" w:eastAsia="zh-CN"/>
        </w:rPr>
        <w:t>共同探讨前沿课题、可持续发展；</w:t>
      </w:r>
    </w:p>
    <w:p w14:paraId="03A944A7">
      <w:pPr>
        <w:pStyle w:val="2"/>
        <w:keepNext w:val="0"/>
        <w:keepLines w:val="0"/>
        <w:pageBreakBefore w:val="0"/>
        <w:widowControl w:val="0"/>
        <w:kinsoku/>
        <w:wordWrap/>
        <w:overflowPunct/>
        <w:topLinePunct w:val="0"/>
        <w:autoSpaceDE w:val="0"/>
        <w:autoSpaceDN w:val="0"/>
        <w:bidi w:val="0"/>
        <w:adjustRightInd/>
        <w:snapToGrid/>
        <w:spacing w:before="0" w:line="360" w:lineRule="auto"/>
        <w:ind w:right="113" w:firstLine="404" w:firstLineChars="200"/>
        <w:textAlignment w:val="auto"/>
        <w:rPr>
          <w:rFonts w:hint="eastAsia" w:ascii="微软雅黑" w:hAnsi="微软雅黑" w:eastAsia="微软雅黑" w:cs="微软雅黑"/>
          <w:color w:val="B72024"/>
          <w:sz w:val="20"/>
          <w:szCs w:val="20"/>
          <w:lang w:bidi="ar"/>
        </w:rPr>
      </w:pPr>
      <w:r>
        <w:rPr>
          <w:rFonts w:hint="eastAsia" w:ascii="微软雅黑" w:hAnsi="微软雅黑" w:eastAsia="微软雅黑" w:cs="微软雅黑"/>
          <w:spacing w:val="-4"/>
          <w:sz w:val="21"/>
          <w:szCs w:val="21"/>
        </w:rPr>
        <w:t>▲</w:t>
      </w:r>
      <w:r>
        <w:rPr>
          <w:rFonts w:hint="eastAsia" w:ascii="微软雅黑" w:hAnsi="微软雅黑" w:eastAsia="微软雅黑" w:cs="微软雅黑"/>
          <w:spacing w:val="-4"/>
          <w:sz w:val="21"/>
          <w:szCs w:val="21"/>
          <w:lang w:val="en-US" w:eastAsia="zh-CN"/>
        </w:rPr>
        <w:t>拓宽就业领域认知与国际视野。</w:t>
      </w:r>
    </w:p>
    <w:p w14:paraId="096616C1">
      <w:pPr>
        <w:rPr>
          <w:rFonts w:hint="eastAsia" w:ascii="微软雅黑" w:hAnsi="微软雅黑" w:eastAsia="微软雅黑" w:cs="微软雅黑"/>
          <w:color w:val="000000"/>
          <w:sz w:val="20"/>
          <w:szCs w:val="20"/>
          <w:lang w:eastAsia="zh-CN" w:bidi="ar"/>
        </w:rPr>
      </w:pPr>
      <w:r>
        <w:rPr>
          <w:rFonts w:hint="eastAsia" w:ascii="微软雅黑" w:hAnsi="微软雅黑" w:eastAsia="微软雅黑" w:cs="微软雅黑"/>
          <w:color w:val="B72024"/>
          <w:sz w:val="20"/>
          <w:szCs w:val="20"/>
          <w:lang w:bidi="ar"/>
        </w:rPr>
        <w:drawing>
          <wp:inline distT="0" distB="0" distL="114300" distR="114300">
            <wp:extent cx="1866900" cy="1805940"/>
            <wp:effectExtent l="0" t="0" r="0" b="3810"/>
            <wp:docPr id="39" name="图片 39" descr="6de1870f1ca429011251cf373bc092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6de1870f1ca429011251cf373bc0925e"/>
                    <pic:cNvPicPr>
                      <a:picLocks noChangeAspect="1"/>
                    </pic:cNvPicPr>
                  </pic:nvPicPr>
                  <pic:blipFill>
                    <a:blip r:embed="rId6"/>
                    <a:srcRect t="22407" b="5064"/>
                    <a:stretch>
                      <a:fillRect/>
                    </a:stretch>
                  </pic:blipFill>
                  <pic:spPr>
                    <a:xfrm>
                      <a:off x="0" y="0"/>
                      <a:ext cx="1866900" cy="1805940"/>
                    </a:xfrm>
                    <a:prstGeom prst="roundRect">
                      <a:avLst/>
                    </a:prstGeom>
                  </pic:spPr>
                </pic:pic>
              </a:graphicData>
            </a:graphic>
          </wp:inline>
        </w:drawing>
      </w:r>
      <w:r>
        <w:rPr>
          <w:rFonts w:hint="eastAsia" w:ascii="微软雅黑" w:hAnsi="微软雅黑" w:eastAsia="微软雅黑" w:cs="微软雅黑"/>
          <w:color w:val="B72024"/>
          <w:sz w:val="20"/>
          <w:szCs w:val="20"/>
          <w:lang w:bidi="ar"/>
        </w:rPr>
        <w:t xml:space="preserve"> </w:t>
      </w:r>
      <w:r>
        <w:rPr>
          <w:rFonts w:hint="eastAsia" w:ascii="微软雅黑" w:hAnsi="微软雅黑" w:eastAsia="微软雅黑" w:cs="微软雅黑"/>
          <w:color w:val="000000"/>
          <w:sz w:val="20"/>
          <w:szCs w:val="20"/>
          <w:lang w:eastAsia="zh-CN" w:bidi="ar"/>
        </w:rPr>
        <w:drawing>
          <wp:inline distT="0" distB="0" distL="114300" distR="114300">
            <wp:extent cx="2440305" cy="1791970"/>
            <wp:effectExtent l="0" t="0" r="17145" b="17780"/>
            <wp:docPr id="40" name="图片 40" descr="0ad27478614ce704dd99bdb3c9165a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0ad27478614ce704dd99bdb3c9165a7e"/>
                    <pic:cNvPicPr>
                      <a:picLocks noChangeAspect="1"/>
                    </pic:cNvPicPr>
                  </pic:nvPicPr>
                  <pic:blipFill>
                    <a:blip r:embed="rId7"/>
                    <a:srcRect l="4267" r="10715"/>
                    <a:stretch>
                      <a:fillRect/>
                    </a:stretch>
                  </pic:blipFill>
                  <pic:spPr>
                    <a:xfrm>
                      <a:off x="0" y="0"/>
                      <a:ext cx="2440305" cy="1791970"/>
                    </a:xfrm>
                    <a:prstGeom prst="roundRect">
                      <a:avLst/>
                    </a:prstGeom>
                  </pic:spPr>
                </pic:pic>
              </a:graphicData>
            </a:graphic>
          </wp:inline>
        </w:drawing>
      </w:r>
    </w:p>
    <w:p w14:paraId="21588C71">
      <w:pPr>
        <w:rPr>
          <w:rFonts w:hint="eastAsia"/>
        </w:rPr>
      </w:pPr>
    </w:p>
    <w:p w14:paraId="696C0676">
      <w:pPr>
        <w:spacing w:line="360" w:lineRule="auto"/>
        <w:rPr>
          <w:rFonts w:hint="eastAsia" w:ascii="微软雅黑" w:hAnsi="微软雅黑" w:eastAsia="微软雅黑" w:cs="微软雅黑"/>
          <w:color w:val="auto"/>
          <w:sz w:val="21"/>
          <w:szCs w:val="21"/>
          <w:lang w:bidi="ar"/>
        </w:rPr>
      </w:pPr>
      <w:r>
        <w:rPr>
          <w:rFonts w:hint="eastAsia" w:ascii="微软雅黑" w:hAnsi="微软雅黑" w:eastAsia="微软雅黑" w:cs="微软雅黑"/>
          <w:b/>
          <w:bCs/>
          <w:color w:val="auto"/>
          <w:lang w:bidi="ar"/>
        </w:rPr>
        <w:t>项目时长：</w:t>
      </w:r>
      <w:r>
        <w:rPr>
          <w:rFonts w:hint="eastAsia" w:ascii="微软雅黑" w:hAnsi="微软雅黑" w:eastAsia="微软雅黑" w:cs="微软雅黑"/>
          <w:color w:val="auto"/>
          <w:sz w:val="21"/>
          <w:szCs w:val="21"/>
          <w:lang w:val="en-US" w:eastAsia="zh-CN" w:bidi="ar"/>
        </w:rPr>
        <w:t>7</w:t>
      </w:r>
      <w:r>
        <w:rPr>
          <w:rFonts w:hint="eastAsia" w:ascii="微软雅黑" w:hAnsi="微软雅黑" w:eastAsia="微软雅黑" w:cs="微软雅黑"/>
          <w:color w:val="auto"/>
          <w:sz w:val="21"/>
          <w:szCs w:val="21"/>
          <w:lang w:bidi="ar"/>
        </w:rPr>
        <w:t>天</w:t>
      </w:r>
    </w:p>
    <w:p w14:paraId="6DA2063A">
      <w:pPr>
        <w:spacing w:line="360" w:lineRule="auto"/>
        <w:rPr>
          <w:rFonts w:hint="eastAsia" w:ascii="微软雅黑" w:hAnsi="微软雅黑" w:eastAsia="微软雅黑" w:cs="微软雅黑"/>
          <w:color w:val="auto"/>
          <w:sz w:val="21"/>
          <w:szCs w:val="21"/>
          <w:highlight w:val="none"/>
          <w:lang w:val="en-US" w:eastAsia="zh-CN" w:bidi="ar"/>
        </w:rPr>
      </w:pPr>
      <w:r>
        <w:rPr>
          <w:rFonts w:hint="eastAsia" w:ascii="微软雅黑" w:hAnsi="微软雅黑" w:eastAsia="微软雅黑" w:cs="微软雅黑"/>
          <w:b/>
          <w:bCs/>
          <w:color w:val="auto"/>
          <w:lang w:bidi="ar"/>
        </w:rPr>
        <w:t>项目时间：</w:t>
      </w:r>
      <w:r>
        <w:rPr>
          <w:rFonts w:hint="eastAsia" w:ascii="微软雅黑" w:hAnsi="微软雅黑" w:eastAsia="微软雅黑" w:cs="微软雅黑"/>
          <w:color w:val="auto"/>
          <w:sz w:val="21"/>
          <w:szCs w:val="21"/>
          <w:highlight w:val="none"/>
          <w:lang w:val="en-US" w:eastAsia="zh-CN" w:bidi="ar"/>
        </w:rPr>
        <w:t xml:space="preserve"> </w:t>
      </w:r>
    </w:p>
    <w:p w14:paraId="50E4338A">
      <w:pPr>
        <w:spacing w:line="360" w:lineRule="auto"/>
        <w:rPr>
          <w:rFonts w:hint="eastAsia" w:ascii="微软雅黑" w:hAnsi="微软雅黑" w:eastAsia="微软雅黑" w:cs="微软雅黑"/>
          <w:color w:val="auto"/>
          <w:sz w:val="21"/>
          <w:szCs w:val="21"/>
          <w:highlight w:val="none"/>
          <w:lang w:val="en-US" w:eastAsia="zh-CN" w:bidi="ar"/>
        </w:rPr>
      </w:pPr>
      <w:r>
        <w:rPr>
          <w:rFonts w:hint="eastAsia" w:ascii="微软雅黑" w:hAnsi="微软雅黑" w:eastAsia="微软雅黑" w:cs="微软雅黑"/>
          <w:color w:val="auto"/>
          <w:sz w:val="21"/>
          <w:szCs w:val="21"/>
          <w:highlight w:val="none"/>
          <w:lang w:val="en-US" w:eastAsia="zh-CN" w:bidi="ar"/>
        </w:rPr>
        <w:t>第一时间段：2026年7月19日-2026年7月25日</w:t>
      </w:r>
    </w:p>
    <w:p w14:paraId="2E1BD25D">
      <w:pPr>
        <w:spacing w:line="360" w:lineRule="auto"/>
        <w:rPr>
          <w:rFonts w:hint="eastAsia" w:ascii="微软雅黑" w:hAnsi="微软雅黑" w:eastAsia="微软雅黑" w:cs="微软雅黑"/>
          <w:color w:val="auto"/>
          <w:sz w:val="21"/>
          <w:szCs w:val="21"/>
          <w:highlight w:val="none"/>
          <w:lang w:val="en-US" w:eastAsia="zh-CN" w:bidi="ar"/>
        </w:rPr>
      </w:pPr>
      <w:r>
        <w:rPr>
          <w:rFonts w:hint="eastAsia" w:ascii="微软雅黑" w:hAnsi="微软雅黑" w:eastAsia="微软雅黑" w:cs="微软雅黑"/>
          <w:color w:val="auto"/>
          <w:sz w:val="21"/>
          <w:szCs w:val="21"/>
          <w:highlight w:val="none"/>
          <w:lang w:val="en-US" w:eastAsia="zh-CN" w:bidi="ar"/>
        </w:rPr>
        <w:t>第二时间段：2026年7月26日-2026年8月1日</w:t>
      </w:r>
    </w:p>
    <w:p w14:paraId="62D01BF5">
      <w:pPr>
        <w:spacing w:line="360" w:lineRule="auto"/>
        <w:rPr>
          <w:rFonts w:hint="eastAsia" w:ascii="微软雅黑" w:hAnsi="微软雅黑" w:eastAsia="微软雅黑" w:cs="微软雅黑"/>
          <w:color w:val="auto"/>
          <w:sz w:val="21"/>
          <w:szCs w:val="21"/>
          <w:lang w:val="en-US" w:eastAsia="zh-CN" w:bidi="ar"/>
        </w:rPr>
      </w:pPr>
      <w:r>
        <w:rPr>
          <w:rFonts w:hint="eastAsia" w:ascii="宋体" w:hAnsi="宋体" w:eastAsia="宋体" w:cs="宋体"/>
          <w:color w:val="auto"/>
          <w:sz w:val="21"/>
          <w:szCs w:val="21"/>
          <w:lang w:val="en-US" w:eastAsia="zh-CN" w:bidi="ar"/>
        </w:rPr>
        <w:t>※</w:t>
      </w:r>
      <w:r>
        <w:rPr>
          <w:rFonts w:hint="eastAsia" w:ascii="微软雅黑" w:hAnsi="微软雅黑" w:eastAsia="微软雅黑" w:cs="微软雅黑"/>
          <w:color w:val="auto"/>
          <w:sz w:val="21"/>
          <w:szCs w:val="21"/>
          <w:lang w:val="en-US" w:eastAsia="zh-CN" w:bidi="ar"/>
        </w:rPr>
        <w:t>根据各高校放假时间，起止日期可能会有前后1-3天的调整</w:t>
      </w:r>
    </w:p>
    <w:p w14:paraId="161EF0F2">
      <w:pPr>
        <w:spacing w:line="360" w:lineRule="auto"/>
        <w:rPr>
          <w:rFonts w:hint="eastAsia" w:ascii="微软雅黑" w:hAnsi="微软雅黑" w:eastAsia="微软雅黑" w:cs="微软雅黑"/>
          <w:color w:val="auto"/>
          <w:sz w:val="21"/>
          <w:szCs w:val="21"/>
          <w:lang w:val="en-US" w:eastAsia="zh-CN" w:bidi="ar"/>
        </w:rPr>
      </w:pPr>
      <w:r>
        <w:rPr>
          <w:rFonts w:hint="eastAsia" w:ascii="微软雅黑" w:hAnsi="微软雅黑" w:eastAsia="微软雅黑" w:cs="微软雅黑"/>
          <w:b/>
          <w:bCs/>
          <w:color w:val="auto"/>
          <w:lang w:bidi="ar"/>
        </w:rPr>
        <w:t>项目地点：</w:t>
      </w:r>
      <w:r>
        <w:rPr>
          <w:rFonts w:hint="eastAsia" w:ascii="微软雅黑" w:hAnsi="微软雅黑" w:eastAsia="微软雅黑" w:cs="微软雅黑"/>
          <w:color w:val="auto"/>
          <w:sz w:val="21"/>
          <w:szCs w:val="21"/>
          <w:lang w:val="en-US" w:eastAsia="zh-CN" w:bidi="ar"/>
        </w:rPr>
        <w:t>韩国首尔</w:t>
      </w:r>
    </w:p>
    <w:p w14:paraId="57E94C85">
      <w:pPr>
        <w:spacing w:line="360" w:lineRule="auto"/>
        <w:rPr>
          <w:rFonts w:hint="eastAsia" w:ascii="微软雅黑" w:hAnsi="微软雅黑" w:eastAsia="微软雅黑" w:cs="微软雅黑"/>
          <w:b w:val="0"/>
          <w:bCs w:val="0"/>
          <w:color w:val="auto"/>
          <w:sz w:val="21"/>
          <w:szCs w:val="21"/>
          <w:lang w:val="en-US" w:eastAsia="zh-CN" w:bidi="ar"/>
        </w:rPr>
      </w:pPr>
      <w:r>
        <w:rPr>
          <w:rFonts w:hint="eastAsia" w:ascii="微软雅黑" w:hAnsi="微软雅黑" w:eastAsia="微软雅黑" w:cs="微软雅黑"/>
          <w:b/>
          <w:bCs/>
          <w:color w:val="auto"/>
          <w:lang w:val="en-US" w:eastAsia="zh-CN" w:bidi="ar"/>
        </w:rPr>
        <w:t>授课语言：</w:t>
      </w:r>
      <w:r>
        <w:rPr>
          <w:rFonts w:hint="eastAsia" w:ascii="微软雅黑" w:hAnsi="微软雅黑" w:eastAsia="微软雅黑" w:cs="微软雅黑"/>
          <w:b w:val="0"/>
          <w:bCs w:val="0"/>
          <w:color w:val="auto"/>
          <w:sz w:val="21"/>
          <w:szCs w:val="21"/>
          <w:lang w:val="en-US" w:eastAsia="zh-CN" w:bidi="ar"/>
        </w:rPr>
        <w:t>英语或韩语（韩语授课配备翻译，提供双语支持）</w:t>
      </w:r>
    </w:p>
    <w:p w14:paraId="232A6A52">
      <w:pPr>
        <w:spacing w:line="360" w:lineRule="auto"/>
        <w:rPr>
          <w:rFonts w:hint="default" w:ascii="微软雅黑" w:hAnsi="微软雅黑" w:eastAsia="微软雅黑" w:cs="微软雅黑"/>
          <w:b w:val="0"/>
          <w:bCs w:val="0"/>
          <w:color w:val="auto"/>
          <w:sz w:val="21"/>
          <w:szCs w:val="21"/>
          <w:lang w:val="en-US" w:eastAsia="zh-CN" w:bidi="ar"/>
        </w:rPr>
      </w:pPr>
      <w:r>
        <w:rPr>
          <w:rFonts w:hint="eastAsia" w:ascii="微软雅黑" w:hAnsi="微软雅黑" w:eastAsia="微软雅黑" w:cs="微软雅黑"/>
          <w:b/>
          <w:bCs/>
          <w:color w:val="auto"/>
          <w:lang w:val="en-US" w:eastAsia="zh-CN" w:bidi="ar"/>
        </w:rPr>
        <w:t>参与专业：</w:t>
      </w:r>
      <w:r>
        <w:rPr>
          <w:rFonts w:hint="eastAsia" w:ascii="微软雅黑" w:hAnsi="微软雅黑" w:eastAsia="微软雅黑" w:cs="微软雅黑"/>
          <w:b w:val="0"/>
          <w:bCs w:val="0"/>
          <w:color w:val="auto"/>
          <w:sz w:val="21"/>
          <w:szCs w:val="21"/>
          <w:lang w:val="en-US" w:eastAsia="zh-CN" w:bidi="ar"/>
        </w:rPr>
        <w:t>不限</w:t>
      </w:r>
    </w:p>
    <w:p w14:paraId="29A98B78">
      <w:pPr>
        <w:spacing w:line="360" w:lineRule="auto"/>
        <w:rPr>
          <w:rFonts w:hint="eastAsia" w:ascii="微软雅黑" w:hAnsi="微软雅黑" w:eastAsia="微软雅黑" w:cs="微软雅黑"/>
          <w:b/>
          <w:bCs/>
          <w:color w:val="auto"/>
          <w:lang w:eastAsia="zh-CN" w:bidi="ar"/>
        </w:rPr>
      </w:pPr>
      <w:r>
        <w:rPr>
          <w:rFonts w:hint="eastAsia" w:ascii="微软雅黑" w:hAnsi="微软雅黑" w:eastAsia="微软雅黑" w:cs="微软雅黑"/>
          <w:b/>
          <w:bCs/>
          <w:color w:val="auto"/>
          <w:lang w:bidi="ar"/>
        </w:rPr>
        <w:t>项目收获</w:t>
      </w:r>
      <w:r>
        <w:rPr>
          <w:rFonts w:hint="eastAsia" w:ascii="微软雅黑" w:hAnsi="微软雅黑" w:eastAsia="微软雅黑" w:cs="微软雅黑"/>
          <w:b/>
          <w:bCs/>
          <w:color w:val="auto"/>
          <w:lang w:eastAsia="zh-CN" w:bidi="ar"/>
        </w:rPr>
        <w:t>：</w:t>
      </w:r>
    </w:p>
    <w:p w14:paraId="47AD8000">
      <w:pPr>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开拓国际视野；提升跨文化沟通能力，</w:t>
      </w:r>
      <w:r>
        <w:rPr>
          <w:rFonts w:hint="eastAsia" w:ascii="微软雅黑" w:hAnsi="微软雅黑" w:eastAsia="微软雅黑" w:cs="微软雅黑"/>
          <w:sz w:val="21"/>
          <w:szCs w:val="21"/>
          <w:lang w:val="en-US" w:eastAsia="zh-CN"/>
        </w:rPr>
        <w:t>促进人文交流与科技融合</w:t>
      </w:r>
      <w:r>
        <w:rPr>
          <w:rFonts w:hint="eastAsia" w:ascii="微软雅黑" w:hAnsi="微软雅黑" w:eastAsia="微软雅黑" w:cs="微软雅黑"/>
          <w:sz w:val="21"/>
          <w:szCs w:val="21"/>
          <w:lang w:eastAsia="zh-CN"/>
        </w:rPr>
        <w:t>；项目证书；</w:t>
      </w:r>
      <w:r>
        <w:rPr>
          <w:rFonts w:hint="eastAsia" w:ascii="微软雅黑" w:hAnsi="微软雅黑" w:eastAsia="微软雅黑" w:cs="微软雅黑"/>
          <w:sz w:val="21"/>
          <w:szCs w:val="21"/>
          <w:lang w:val="en-US" w:eastAsia="zh-CN"/>
        </w:rPr>
        <w:t>体验韩国顶尖教育的学习氛围；</w:t>
      </w:r>
      <w:r>
        <w:rPr>
          <w:rFonts w:hint="eastAsia" w:ascii="微软雅黑" w:hAnsi="微软雅黑" w:eastAsia="微软雅黑" w:cs="微软雅黑"/>
          <w:sz w:val="21"/>
          <w:szCs w:val="21"/>
          <w:lang w:eastAsia="zh-CN"/>
        </w:rPr>
        <w:t>体验国际知名企业的真实工作环境、流程、氛围；建立对未来择业、择校的初步规划。</w:t>
      </w:r>
    </w:p>
    <w:p w14:paraId="57E85B16">
      <w:pPr>
        <w:spacing w:line="360" w:lineRule="auto"/>
        <w:rPr>
          <w:rFonts w:hint="eastAsia" w:ascii="微软雅黑" w:hAnsi="微软雅黑" w:eastAsia="微软雅黑" w:cs="微软雅黑"/>
          <w:b/>
          <w:bCs/>
          <w:color w:val="auto"/>
          <w:lang w:bidi="ar"/>
        </w:rPr>
      </w:pPr>
      <w:r>
        <w:rPr>
          <w:rFonts w:hint="eastAsia" w:ascii="微软雅黑" w:hAnsi="微软雅黑" w:eastAsia="微软雅黑" w:cs="微软雅黑"/>
          <w:b/>
          <w:bCs/>
          <w:color w:val="auto"/>
          <w:lang w:bidi="ar"/>
        </w:rPr>
        <w:t>证书收获：</w:t>
      </w:r>
    </w:p>
    <w:p w14:paraId="78D4BBBD">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lang w:val="en-US" w:eastAsia="zh-CN"/>
        </w:rPr>
      </w:pPr>
      <w:r>
        <w:rPr>
          <w:rFonts w:hint="eastAsia" w:ascii="微软雅黑" w:hAnsi="微软雅黑" w:eastAsia="微软雅黑" w:cs="微软雅黑"/>
          <w:i w:val="0"/>
          <w:iCs w:val="0"/>
          <w:snapToGrid w:val="0"/>
          <w:color w:val="000000"/>
          <w:kern w:val="0"/>
          <w:sz w:val="22"/>
          <w:szCs w:val="22"/>
          <w:u w:val="none"/>
          <w:lang w:val="en-US" w:eastAsia="zh-CN" w:bidi="ar"/>
        </w:rPr>
        <w:t>首尔大学官方结业证书</w:t>
      </w:r>
    </w:p>
    <w:p w14:paraId="6D250EB8">
      <w:pPr>
        <w:rPr>
          <w:rFonts w:hint="eastAsia" w:ascii="微软雅黑" w:hAnsi="微软雅黑" w:eastAsia="微软雅黑" w:cs="微软雅黑"/>
          <w:b/>
          <w:bCs/>
          <w:color w:val="auto"/>
          <w:lang w:val="en-US" w:eastAsia="zh-CN" w:bidi="ar"/>
        </w:rPr>
      </w:pPr>
      <w:r>
        <w:rPr>
          <w:rFonts w:hint="eastAsia"/>
          <w:lang w:val="en-US" w:eastAsia="zh-CN"/>
        </w:rPr>
        <w:t xml:space="preserve">     </w:t>
      </w:r>
      <w:r>
        <w:rPr>
          <w:rFonts w:hint="default" w:eastAsia="宋体"/>
          <w:lang w:val="en-US" w:eastAsia="zh-CN"/>
        </w:rPr>
        <w:drawing>
          <wp:inline distT="0" distB="0" distL="114300" distR="114300">
            <wp:extent cx="1494155" cy="2082800"/>
            <wp:effectExtent l="0" t="0" r="10795" b="12700"/>
            <wp:docPr id="1" name="图片 1" descr="d30c39bb-1802-483b-81eb-1a6fc5f9cd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30c39bb-1802-483b-81eb-1a6fc5f9cdc2"/>
                    <pic:cNvPicPr>
                      <a:picLocks noChangeAspect="1"/>
                    </pic:cNvPicPr>
                  </pic:nvPicPr>
                  <pic:blipFill>
                    <a:blip r:embed="rId8"/>
                    <a:srcRect l="2013" r="2810" b="2294"/>
                    <a:stretch>
                      <a:fillRect/>
                    </a:stretch>
                  </pic:blipFill>
                  <pic:spPr>
                    <a:xfrm>
                      <a:off x="0" y="0"/>
                      <a:ext cx="1494155" cy="2082800"/>
                    </a:xfrm>
                    <a:prstGeom prst="rect">
                      <a:avLst/>
                    </a:prstGeom>
                  </pic:spPr>
                </pic:pic>
              </a:graphicData>
            </a:graphic>
          </wp:inline>
        </w:drawing>
      </w:r>
    </w:p>
    <w:p w14:paraId="2B3A64C8">
      <w:pPr>
        <w:rPr>
          <w:rFonts w:hint="default"/>
          <w:highlight w:val="none"/>
          <w:lang w:val="en-US"/>
        </w:rPr>
      </w:pPr>
      <w:r>
        <w:rPr>
          <w:rFonts w:hint="eastAsia" w:ascii="微软雅黑" w:hAnsi="微软雅黑" w:eastAsia="微软雅黑" w:cs="微软雅黑"/>
          <w:b/>
          <w:bCs/>
          <w:color w:val="auto"/>
          <w:lang w:val="en-US" w:eastAsia="zh-CN" w:bidi="ar"/>
        </w:rPr>
        <w:t>团组人数：</w:t>
      </w:r>
      <w:r>
        <w:rPr>
          <w:rFonts w:hint="eastAsia" w:ascii="微软雅黑" w:hAnsi="微软雅黑" w:eastAsia="微软雅黑" w:cs="微软雅黑"/>
          <w:b w:val="0"/>
          <w:bCs w:val="0"/>
          <w:color w:val="auto"/>
          <w:sz w:val="21"/>
          <w:szCs w:val="21"/>
          <w:highlight w:val="none"/>
          <w:lang w:val="en-US" w:eastAsia="zh-CN" w:bidi="ar"/>
        </w:rPr>
        <w:t>30-40人</w:t>
      </w:r>
    </w:p>
    <w:p w14:paraId="7CE88193">
      <w:pPr>
        <w:spacing w:line="360" w:lineRule="auto"/>
        <w:rPr>
          <w:rFonts w:hint="eastAsia" w:ascii="微软雅黑" w:hAnsi="微软雅黑" w:eastAsia="微软雅黑" w:cs="微软雅黑"/>
          <w:color w:val="000000"/>
          <w:sz w:val="21"/>
          <w:szCs w:val="21"/>
          <w:lang w:val="en-US" w:eastAsia="zh-CN" w:bidi="ar"/>
        </w:rPr>
      </w:pPr>
      <w:r>
        <w:rPr>
          <w:rFonts w:hint="eastAsia" w:ascii="微软雅黑" w:hAnsi="微软雅黑" w:eastAsia="微软雅黑" w:cs="微软雅黑"/>
          <w:b/>
          <w:bCs/>
          <w:color w:val="auto"/>
          <w:highlight w:val="none"/>
          <w:lang w:bidi="ar"/>
        </w:rPr>
        <w:t>项目费用：</w:t>
      </w:r>
      <w:r>
        <w:rPr>
          <w:rFonts w:hint="eastAsia" w:ascii="微软雅黑" w:hAnsi="微软雅黑" w:eastAsia="微软雅黑" w:cs="微软雅黑"/>
          <w:color w:val="000000"/>
          <w:sz w:val="21"/>
          <w:szCs w:val="21"/>
          <w:highlight w:val="none"/>
          <w:lang w:val="en-US" w:eastAsia="zh-CN" w:bidi="ar"/>
        </w:rPr>
        <w:t>9,800元人民币/人</w:t>
      </w:r>
    </w:p>
    <w:p w14:paraId="3C52852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sz w:val="21"/>
          <w:szCs w:val="21"/>
          <w:lang w:val="en-US" w:eastAsia="zh-CN" w:bidi="ar"/>
        </w:rPr>
      </w:pPr>
      <w:r>
        <w:rPr>
          <w:rFonts w:hint="eastAsia" w:ascii="微软雅黑" w:hAnsi="微软雅黑" w:eastAsia="微软雅黑" w:cs="微软雅黑"/>
          <w:b/>
          <w:bCs/>
          <w:color w:val="000000"/>
          <w:sz w:val="21"/>
          <w:szCs w:val="21"/>
          <w:lang w:val="en-US" w:eastAsia="zh-CN" w:bidi="ar"/>
        </w:rPr>
        <w:t>费用包含：</w:t>
      </w:r>
      <w:r>
        <w:rPr>
          <w:rFonts w:hint="eastAsia" w:ascii="微软雅黑" w:hAnsi="微软雅黑" w:eastAsia="微软雅黑" w:cs="微软雅黑"/>
          <w:color w:val="000000"/>
          <w:sz w:val="21"/>
          <w:szCs w:val="21"/>
          <w:lang w:val="en-US" w:eastAsia="zh-CN" w:bidi="ar"/>
        </w:rPr>
        <w:t>项目期间住宿费用（含早餐）、课程及嘉宾讲座费用、</w:t>
      </w:r>
      <w:r>
        <w:rPr>
          <w:rFonts w:hint="eastAsia" w:ascii="微软雅黑" w:hAnsi="微软雅黑" w:eastAsia="微软雅黑" w:cs="微软雅黑"/>
          <w:color w:val="auto"/>
          <w:sz w:val="21"/>
          <w:szCs w:val="21"/>
          <w:lang w:val="en-US" w:eastAsia="zh-CN" w:bidi="ar"/>
        </w:rPr>
        <w:t>统一行程内的交通费</w:t>
      </w:r>
      <w:r>
        <w:rPr>
          <w:rFonts w:hint="eastAsia" w:ascii="微软雅黑" w:hAnsi="微软雅黑" w:eastAsia="微软雅黑" w:cs="微软雅黑"/>
          <w:color w:val="000000"/>
          <w:sz w:val="21"/>
          <w:szCs w:val="21"/>
          <w:lang w:val="en-US" w:eastAsia="zh-CN" w:bidi="ar"/>
        </w:rPr>
        <w:t>、保险费（医疗保险与意外伤害保险）、企业参访费、场地、教材、统一行程内文化体验导览费用等。</w:t>
      </w:r>
    </w:p>
    <w:p w14:paraId="59F9F81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sz w:val="21"/>
          <w:szCs w:val="21"/>
          <w:lang w:val="en-US" w:eastAsia="zh-CN" w:bidi="ar"/>
        </w:rPr>
      </w:pPr>
      <w:r>
        <w:rPr>
          <w:rFonts w:hint="eastAsia" w:ascii="微软雅黑" w:hAnsi="微软雅黑" w:eastAsia="微软雅黑" w:cs="微软雅黑"/>
          <w:b/>
          <w:bCs/>
          <w:color w:val="000000"/>
          <w:sz w:val="21"/>
          <w:szCs w:val="21"/>
          <w:lang w:val="en-US" w:eastAsia="zh-CN" w:bidi="ar"/>
        </w:rPr>
        <w:t>费用不含：</w:t>
      </w:r>
      <w:r>
        <w:rPr>
          <w:rFonts w:hint="eastAsia" w:ascii="微软雅黑" w:hAnsi="微软雅黑" w:eastAsia="微软雅黑" w:cs="微软雅黑"/>
          <w:color w:val="000000"/>
          <w:sz w:val="21"/>
          <w:szCs w:val="21"/>
          <w:lang w:val="en-US" w:eastAsia="zh-CN" w:bidi="ar"/>
        </w:rPr>
        <w:t>中韩往返机票费用、护照费用、签证费用、午晚餐费用、项目期间因个人需求消费产生的所有费用。</w:t>
      </w:r>
    </w:p>
    <w:p w14:paraId="0A7AB596">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微软雅黑" w:hAnsi="微软雅黑" w:eastAsia="微软雅黑" w:cs="微软雅黑"/>
          <w:color w:val="000000"/>
          <w:sz w:val="21"/>
          <w:szCs w:val="21"/>
          <w:lang w:val="en-US" w:eastAsia="zh-CN" w:bidi="ar"/>
        </w:rPr>
      </w:pPr>
    </w:p>
    <w:p w14:paraId="212CF964">
      <w:pPr>
        <w:pStyle w:val="2"/>
        <w:keepNext w:val="0"/>
        <w:keepLines w:val="0"/>
        <w:pageBreakBefore w:val="0"/>
        <w:widowControl/>
        <w:kinsoku w:val="0"/>
        <w:wordWrap/>
        <w:overflowPunct/>
        <w:topLinePunct w:val="0"/>
        <w:autoSpaceDE w:val="0"/>
        <w:autoSpaceDN w:val="0"/>
        <w:bidi w:val="0"/>
        <w:adjustRightInd w:val="0"/>
        <w:snapToGrid w:val="0"/>
        <w:spacing w:before="79" w:line="360" w:lineRule="auto"/>
        <w:textAlignment w:val="baseline"/>
        <w:outlineLvl w:val="0"/>
        <w:rPr>
          <w:rFonts w:hint="eastAsia" w:ascii="微软雅黑" w:hAnsi="微软雅黑" w:eastAsia="微软雅黑" w:cs="微软雅黑"/>
          <w:spacing w:val="-2"/>
          <w:sz w:val="24"/>
          <w:szCs w:val="24"/>
          <w:lang w:eastAsia="zh-CN"/>
          <w14:textOutline w14:w="4356" w14:cap="flat" w14:cmpd="sng">
            <w14:solidFill>
              <w14:srgbClr w14:val="000000"/>
            </w14:solidFill>
            <w14:prstDash w14:val="solid"/>
            <w14:miter w14:val="0"/>
          </w14:textOutline>
        </w:rPr>
      </w:pPr>
      <w:r>
        <w:rPr>
          <w:rFonts w:hint="eastAsia" w:ascii="微软雅黑" w:hAnsi="微软雅黑" w:eastAsia="微软雅黑" w:cs="微软雅黑"/>
          <w:spacing w:val="-2"/>
          <w:sz w:val="24"/>
          <w:szCs w:val="24"/>
          <w14:textOutline w14:w="4356" w14:cap="flat" w14:cmpd="sng">
            <w14:solidFill>
              <w14:srgbClr w14:val="000000"/>
            </w14:solidFill>
            <w14:prstDash w14:val="solid"/>
            <w14:miter w14:val="0"/>
          </w14:textOutline>
        </w:rPr>
        <w:t>报名</w:t>
      </w:r>
      <w:r>
        <w:rPr>
          <w:rFonts w:hint="eastAsia" w:ascii="微软雅黑" w:hAnsi="微软雅黑" w:eastAsia="微软雅黑" w:cs="微软雅黑"/>
          <w:spacing w:val="-2"/>
          <w:sz w:val="24"/>
          <w:szCs w:val="24"/>
          <w:lang w:val="en-US" w:eastAsia="zh-CN"/>
          <w14:textOutline w14:w="4356" w14:cap="flat" w14:cmpd="sng">
            <w14:solidFill>
              <w14:srgbClr w14:val="000000"/>
            </w14:solidFill>
            <w14:prstDash w14:val="solid"/>
            <w14:miter w14:val="0"/>
          </w14:textOutline>
        </w:rPr>
        <w:t>要求：</w:t>
      </w:r>
    </w:p>
    <w:p w14:paraId="139A80D4">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exact"/>
        <w:ind w:right="0" w:rightChars="0" w:firstLine="420" w:firstLineChars="200"/>
        <w:jc w:val="left"/>
        <w:textAlignment w:val="baseline"/>
        <w:rPr>
          <w:rFonts w:hint="default" w:ascii="微软雅黑" w:hAnsi="微软雅黑" w:eastAsia="微软雅黑" w:cs="微软雅黑"/>
          <w:color w:val="000000"/>
          <w:kern w:val="0"/>
          <w:sz w:val="21"/>
          <w:szCs w:val="21"/>
          <w:lang w:val="en-US" w:eastAsia="en-US" w:bidi="ar"/>
        </w:rPr>
      </w:pPr>
      <w:r>
        <w:rPr>
          <w:rFonts w:hint="default" w:ascii="微软雅黑" w:hAnsi="微软雅黑" w:eastAsia="微软雅黑" w:cs="微软雅黑"/>
          <w:color w:val="000000"/>
          <w:kern w:val="0"/>
          <w:sz w:val="21"/>
          <w:szCs w:val="21"/>
          <w:lang w:val="en-US" w:eastAsia="en-US" w:bidi="ar"/>
        </w:rPr>
        <w:t>拥护中国共产党领导、热爱祖国、政治立场坚定、品德优良、身心健康，具备在</w:t>
      </w:r>
      <w:r>
        <w:rPr>
          <w:rFonts w:hint="eastAsia" w:ascii="微软雅黑" w:hAnsi="微软雅黑" w:eastAsia="微软雅黑" w:cs="微软雅黑"/>
          <w:color w:val="000000"/>
          <w:kern w:val="0"/>
          <w:sz w:val="21"/>
          <w:szCs w:val="21"/>
          <w:lang w:val="en-US" w:eastAsia="zh-CN" w:bidi="ar"/>
        </w:rPr>
        <w:t>韩国</w:t>
      </w:r>
      <w:r>
        <w:rPr>
          <w:rFonts w:hint="default" w:ascii="微软雅黑" w:hAnsi="微软雅黑" w:eastAsia="微软雅黑" w:cs="微软雅黑"/>
          <w:color w:val="000000"/>
          <w:kern w:val="0"/>
          <w:sz w:val="21"/>
          <w:szCs w:val="21"/>
          <w:lang w:val="en-US" w:eastAsia="en-US" w:bidi="ar"/>
        </w:rPr>
        <w:t>进行独立学习及生活能力的全日制在校</w:t>
      </w:r>
      <w:r>
        <w:rPr>
          <w:rFonts w:hint="eastAsia" w:ascii="微软雅黑" w:hAnsi="微软雅黑" w:eastAsia="微软雅黑" w:cs="微软雅黑"/>
          <w:color w:val="000000"/>
          <w:kern w:val="0"/>
          <w:sz w:val="21"/>
          <w:szCs w:val="21"/>
          <w:lang w:val="en-US" w:eastAsia="zh-CN" w:bidi="ar"/>
        </w:rPr>
        <w:t>学</w:t>
      </w:r>
      <w:r>
        <w:rPr>
          <w:rFonts w:hint="default" w:ascii="微软雅黑" w:hAnsi="微软雅黑" w:eastAsia="微软雅黑" w:cs="微软雅黑"/>
          <w:color w:val="000000"/>
          <w:kern w:val="0"/>
          <w:sz w:val="21"/>
          <w:szCs w:val="21"/>
          <w:lang w:val="en-US" w:eastAsia="en-US" w:bidi="ar"/>
        </w:rPr>
        <w:t>生，专业不限；</w:t>
      </w:r>
    </w:p>
    <w:p w14:paraId="6658C64E">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exact"/>
        <w:ind w:left="0" w:leftChars="0" w:right="0" w:firstLine="420" w:firstLineChars="200"/>
        <w:jc w:val="left"/>
        <w:textAlignment w:val="baseline"/>
        <w:rPr>
          <w:rFonts w:hint="default" w:ascii="微软雅黑" w:hAnsi="微软雅黑" w:eastAsia="微软雅黑" w:cs="微软雅黑"/>
          <w:color w:val="000000"/>
          <w:kern w:val="0"/>
          <w:sz w:val="21"/>
          <w:szCs w:val="21"/>
          <w:lang w:val="en-US" w:eastAsia="en-US" w:bidi="ar"/>
        </w:rPr>
      </w:pPr>
      <w:r>
        <w:rPr>
          <w:rFonts w:hint="default" w:ascii="微软雅黑" w:hAnsi="微软雅黑" w:eastAsia="微软雅黑" w:cs="微软雅黑"/>
          <w:color w:val="000000"/>
          <w:kern w:val="0"/>
          <w:sz w:val="21"/>
          <w:szCs w:val="21"/>
          <w:lang w:val="en-US" w:eastAsia="en-US" w:bidi="ar"/>
        </w:rPr>
        <w:t>学习成绩优良，综合素质较高，无不良嗜好；</w:t>
      </w:r>
    </w:p>
    <w:p w14:paraId="45E7EFD2">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exact"/>
        <w:ind w:left="0" w:leftChars="0" w:right="0" w:firstLine="420" w:firstLineChars="200"/>
        <w:jc w:val="left"/>
        <w:textAlignment w:val="baseline"/>
        <w:rPr>
          <w:rFonts w:hint="default" w:ascii="微软雅黑" w:hAnsi="微软雅黑" w:eastAsia="微软雅黑" w:cs="微软雅黑"/>
          <w:color w:val="000000"/>
          <w:kern w:val="0"/>
          <w:sz w:val="21"/>
          <w:szCs w:val="21"/>
          <w:lang w:val="en-US" w:eastAsia="en-US" w:bidi="ar"/>
        </w:rPr>
      </w:pPr>
      <w:r>
        <w:rPr>
          <w:rFonts w:hint="default" w:ascii="微软雅黑" w:hAnsi="微软雅黑" w:eastAsia="微软雅黑" w:cs="微软雅黑"/>
          <w:color w:val="000000"/>
          <w:kern w:val="0"/>
          <w:sz w:val="21"/>
          <w:szCs w:val="21"/>
          <w:lang w:val="en-US" w:eastAsia="en-US" w:bidi="ar"/>
        </w:rPr>
        <w:t>对</w:t>
      </w:r>
      <w:r>
        <w:rPr>
          <w:rFonts w:hint="eastAsia" w:ascii="微软雅黑" w:hAnsi="微软雅黑" w:eastAsia="微软雅黑" w:cs="微软雅黑"/>
          <w:color w:val="000000"/>
          <w:kern w:val="0"/>
          <w:sz w:val="21"/>
          <w:szCs w:val="21"/>
          <w:lang w:val="en-US" w:eastAsia="zh-CN" w:bidi="ar"/>
        </w:rPr>
        <w:t>韩国</w:t>
      </w:r>
      <w:r>
        <w:rPr>
          <w:rFonts w:hint="default" w:ascii="微软雅黑" w:hAnsi="微软雅黑" w:eastAsia="微软雅黑" w:cs="微软雅黑"/>
          <w:color w:val="000000"/>
          <w:kern w:val="0"/>
          <w:sz w:val="21"/>
          <w:szCs w:val="21"/>
          <w:lang w:val="en-US" w:eastAsia="en-US" w:bidi="ar"/>
        </w:rPr>
        <w:t>知名企业文化感兴趣；</w:t>
      </w:r>
    </w:p>
    <w:p w14:paraId="31E20CCE">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480" w:lineRule="exact"/>
        <w:ind w:left="0" w:leftChars="0" w:right="0" w:firstLine="420" w:firstLineChars="200"/>
        <w:jc w:val="left"/>
        <w:textAlignment w:val="baseline"/>
        <w:rPr>
          <w:rFonts w:hint="default" w:ascii="微软雅黑" w:hAnsi="微软雅黑" w:eastAsia="微软雅黑" w:cs="微软雅黑"/>
          <w:color w:val="000000"/>
          <w:kern w:val="0"/>
          <w:sz w:val="21"/>
          <w:szCs w:val="21"/>
          <w:lang w:val="en-US" w:eastAsia="en-US" w:bidi="ar"/>
        </w:rPr>
      </w:pPr>
      <w:r>
        <w:rPr>
          <w:rFonts w:hint="default" w:ascii="微软雅黑" w:hAnsi="微软雅黑" w:eastAsia="微软雅黑" w:cs="微软雅黑"/>
          <w:color w:val="000000"/>
          <w:kern w:val="0"/>
          <w:sz w:val="21"/>
          <w:szCs w:val="21"/>
          <w:lang w:val="en-US" w:eastAsia="en-US" w:bidi="ar"/>
        </w:rPr>
        <w:t>具备相应的经济能力，能承担在</w:t>
      </w:r>
      <w:r>
        <w:rPr>
          <w:rFonts w:hint="eastAsia" w:ascii="微软雅黑" w:hAnsi="微软雅黑" w:eastAsia="微软雅黑" w:cs="微软雅黑"/>
          <w:color w:val="000000"/>
          <w:kern w:val="0"/>
          <w:sz w:val="21"/>
          <w:szCs w:val="21"/>
          <w:lang w:val="en-US" w:eastAsia="zh-CN" w:bidi="ar"/>
        </w:rPr>
        <w:t>韩国</w:t>
      </w:r>
      <w:r>
        <w:rPr>
          <w:rFonts w:hint="default" w:ascii="微软雅黑" w:hAnsi="微软雅黑" w:eastAsia="微软雅黑" w:cs="微软雅黑"/>
          <w:color w:val="000000"/>
          <w:kern w:val="0"/>
          <w:sz w:val="21"/>
          <w:szCs w:val="21"/>
          <w:lang w:val="en-US" w:eastAsia="en-US" w:bidi="ar"/>
        </w:rPr>
        <w:t>学习、生活的相关费用；</w:t>
      </w:r>
    </w:p>
    <w:p w14:paraId="2231232C">
      <w:pPr>
        <w:keepNext w:val="0"/>
        <w:keepLines w:val="0"/>
        <w:pageBreakBefore w:val="0"/>
        <w:widowControl/>
        <w:numPr>
          <w:ilvl w:val="0"/>
          <w:numId w:val="1"/>
        </w:numPr>
        <w:suppressLineNumbers w:val="0"/>
        <w:wordWrap/>
        <w:overflowPunct/>
        <w:topLinePunct w:val="0"/>
        <w:bidi w:val="0"/>
        <w:spacing w:line="480" w:lineRule="exact"/>
        <w:ind w:left="0" w:leftChars="0" w:firstLine="420" w:firstLineChars="200"/>
        <w:jc w:val="left"/>
        <w:rPr>
          <w:rFonts w:hint="default" w:ascii="微软雅黑" w:hAnsi="微软雅黑" w:eastAsia="微软雅黑" w:cs="微软雅黑"/>
          <w:color w:val="000000"/>
          <w:kern w:val="0"/>
          <w:sz w:val="21"/>
          <w:szCs w:val="21"/>
          <w:lang w:val="en-US" w:eastAsia="en-US" w:bidi="ar"/>
        </w:rPr>
      </w:pPr>
      <w:r>
        <w:rPr>
          <w:rFonts w:hint="default" w:ascii="微软雅黑" w:hAnsi="微软雅黑" w:eastAsia="微软雅黑" w:cs="微软雅黑"/>
          <w:color w:val="000000"/>
          <w:kern w:val="0"/>
          <w:sz w:val="21"/>
          <w:szCs w:val="21"/>
          <w:lang w:val="en-US" w:eastAsia="en-US" w:bidi="ar"/>
        </w:rPr>
        <w:t>学生在项目期间需严格遵守当地法律法规和参访企业规章制度，自觉维护国家利益、民族尊严和学校荣誉。</w:t>
      </w:r>
    </w:p>
    <w:p w14:paraId="11DCFBE2">
      <w:pPr>
        <w:rPr>
          <w:rFonts w:hint="eastAsia"/>
        </w:rPr>
      </w:pPr>
    </w:p>
    <w:p w14:paraId="6A154DD3">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auto"/>
          <w:lang w:bidi="ar"/>
        </w:rPr>
      </w:pPr>
    </w:p>
    <w:p w14:paraId="16CCA740">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auto"/>
          <w:lang w:bidi="ar"/>
        </w:rPr>
      </w:pPr>
    </w:p>
    <w:p w14:paraId="172A9B2A">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332C2B"/>
          <w:sz w:val="21"/>
          <w:szCs w:val="21"/>
          <w:lang w:bidi="ar"/>
        </w:rPr>
      </w:pPr>
      <w:r>
        <w:rPr>
          <w:rFonts w:hint="eastAsia" w:ascii="微软雅黑" w:hAnsi="微软雅黑" w:eastAsia="微软雅黑" w:cs="微软雅黑"/>
          <w:b/>
          <w:bCs/>
          <w:color w:val="auto"/>
          <w:lang w:bidi="ar"/>
        </w:rPr>
        <w:t>行程</w:t>
      </w:r>
      <w:r>
        <w:rPr>
          <w:rFonts w:hint="eastAsia" w:ascii="微软雅黑" w:hAnsi="微软雅黑" w:eastAsia="微软雅黑" w:cs="微软雅黑"/>
          <w:b/>
          <w:bCs/>
          <w:color w:val="auto"/>
          <w:lang w:val="en-US" w:eastAsia="zh-CN" w:bidi="ar"/>
        </w:rPr>
        <w:t>示例：</w:t>
      </w:r>
      <w:r>
        <w:rPr>
          <w:rFonts w:hint="eastAsia" w:ascii="微软雅黑" w:hAnsi="微软雅黑" w:eastAsia="微软雅黑" w:cs="微软雅黑"/>
          <w:color w:val="000000"/>
          <w:sz w:val="21"/>
          <w:szCs w:val="21"/>
          <w:lang w:val="en-US" w:eastAsia="zh-CN" w:bidi="ar"/>
        </w:rPr>
        <w:t>（</w:t>
      </w:r>
      <w:r>
        <w:rPr>
          <w:rFonts w:hint="eastAsia" w:ascii="微软雅黑" w:hAnsi="微软雅黑" w:eastAsia="微软雅黑" w:cs="微软雅黑"/>
          <w:sz w:val="21"/>
          <w:szCs w:val="21"/>
        </w:rPr>
        <w:t>因受</w:t>
      </w:r>
      <w:r>
        <w:rPr>
          <w:rFonts w:hint="eastAsia" w:ascii="微软雅黑" w:hAnsi="微软雅黑" w:eastAsia="微软雅黑" w:cs="微软雅黑"/>
          <w:sz w:val="21"/>
          <w:szCs w:val="21"/>
          <w:lang w:val="en-US" w:eastAsia="zh-CN"/>
        </w:rPr>
        <w:t>高校教学任务和企业生产任务</w:t>
      </w:r>
      <w:r>
        <w:rPr>
          <w:rFonts w:hint="eastAsia" w:ascii="微软雅黑" w:hAnsi="微软雅黑" w:eastAsia="微软雅黑" w:cs="微软雅黑"/>
          <w:sz w:val="21"/>
          <w:szCs w:val="21"/>
        </w:rPr>
        <w:t>、接待</w:t>
      </w:r>
      <w:r>
        <w:rPr>
          <w:rFonts w:hint="eastAsia" w:ascii="微软雅黑" w:hAnsi="微软雅黑" w:eastAsia="微软雅黑" w:cs="微软雅黑"/>
          <w:sz w:val="21"/>
          <w:szCs w:val="21"/>
          <w:lang w:val="en-US" w:eastAsia="zh-CN"/>
        </w:rPr>
        <w:t>安排</w:t>
      </w:r>
      <w:r>
        <w:rPr>
          <w:rFonts w:hint="eastAsia" w:ascii="微软雅黑" w:hAnsi="微软雅黑" w:eastAsia="微软雅黑" w:cs="微软雅黑"/>
          <w:sz w:val="21"/>
          <w:szCs w:val="21"/>
        </w:rPr>
        <w:t>等客观因素影响，部分分享嘉宾</w:t>
      </w:r>
      <w:r>
        <w:rPr>
          <w:rFonts w:hint="eastAsia" w:ascii="微软雅黑" w:hAnsi="微软雅黑" w:eastAsia="微软雅黑" w:cs="微软雅黑"/>
          <w:sz w:val="21"/>
          <w:szCs w:val="21"/>
          <w:lang w:val="en-US" w:eastAsia="zh-CN"/>
        </w:rPr>
        <w:t>和</w:t>
      </w:r>
      <w:r>
        <w:rPr>
          <w:rFonts w:hint="eastAsia" w:ascii="微软雅黑" w:hAnsi="微软雅黑" w:eastAsia="微软雅黑" w:cs="微软雅黑"/>
          <w:sz w:val="21"/>
          <w:szCs w:val="21"/>
        </w:rPr>
        <w:t>参访企业可能会出现调整或变动，但不会减少参访企业的数量和降低参访企业的质量及分享嘉宾的资质</w:t>
      </w:r>
      <w:r>
        <w:rPr>
          <w:rFonts w:hint="eastAsia" w:ascii="微软雅黑" w:hAnsi="微软雅黑" w:eastAsia="微软雅黑" w:cs="微软雅黑"/>
          <w:sz w:val="21"/>
          <w:szCs w:val="21"/>
          <w:lang w:eastAsia="zh-CN"/>
        </w:rPr>
        <w:t>。</w:t>
      </w:r>
      <w:r>
        <w:rPr>
          <w:rFonts w:hint="eastAsia" w:ascii="微软雅黑" w:hAnsi="微软雅黑" w:eastAsia="微软雅黑" w:cs="微软雅黑"/>
          <w:color w:val="000000"/>
          <w:sz w:val="21"/>
          <w:szCs w:val="21"/>
          <w:lang w:val="en-US" w:eastAsia="zh-CN" w:bidi="ar"/>
        </w:rPr>
        <w:t>行程以最终版本为准）</w:t>
      </w:r>
    </w:p>
    <w:p w14:paraId="5A2D44A8">
      <w:pPr>
        <w:rPr>
          <w:rFonts w:hint="eastAsia"/>
          <w:lang w:val="en-US" w:eastAsia="zh-CN"/>
        </w:rPr>
      </w:pPr>
    </w:p>
    <w:tbl>
      <w:tblPr>
        <w:tblStyle w:val="7"/>
        <w:tblW w:w="81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2130"/>
        <w:gridCol w:w="4785"/>
      </w:tblGrid>
      <w:tr w14:paraId="4BC75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6" w:type="dxa"/>
            <w:gridSpan w:val="3"/>
            <w:vAlign w:val="center"/>
          </w:tcPr>
          <w:p w14:paraId="36AB7072">
            <w:pPr>
              <w:widowControl w:val="0"/>
              <w:jc w:val="center"/>
              <w:rPr>
                <w:rFonts w:hint="eastAsia" w:ascii="微软雅黑" w:hAnsi="微软雅黑" w:eastAsia="微软雅黑" w:cs="微软雅黑"/>
                <w:b/>
                <w:bCs/>
                <w:i w:val="0"/>
                <w:iCs w:val="0"/>
                <w:snapToGrid w:val="0"/>
                <w:color w:val="000000"/>
                <w:kern w:val="0"/>
                <w:sz w:val="24"/>
                <w:szCs w:val="24"/>
                <w:u w:val="none"/>
                <w:lang w:val="en-US" w:eastAsia="zh-CN" w:bidi="ar"/>
              </w:rPr>
            </w:pPr>
            <w:r>
              <w:rPr>
                <w:rFonts w:hint="eastAsia" w:ascii="微软雅黑" w:hAnsi="微软雅黑" w:eastAsia="微软雅黑" w:cs="微软雅黑"/>
                <w:b/>
                <w:bCs/>
                <w:i w:val="0"/>
                <w:iCs w:val="0"/>
                <w:snapToGrid w:val="0"/>
                <w:color w:val="000000"/>
                <w:kern w:val="0"/>
                <w:sz w:val="24"/>
                <w:szCs w:val="24"/>
                <w:u w:val="none"/>
                <w:lang w:val="en-US" w:eastAsia="zh-CN" w:bidi="ar"/>
              </w:rPr>
              <w:t>2026年暑期名校进名企（韩国·首尔）</w:t>
            </w:r>
            <w:bookmarkStart w:id="0" w:name="_GoBack"/>
            <w:bookmarkEnd w:id="0"/>
            <w:r>
              <w:rPr>
                <w:rFonts w:hint="eastAsia" w:ascii="微软雅黑" w:hAnsi="微软雅黑" w:eastAsia="微软雅黑" w:cs="微软雅黑"/>
                <w:b/>
                <w:bCs/>
                <w:i w:val="0"/>
                <w:iCs w:val="0"/>
                <w:snapToGrid w:val="0"/>
                <w:color w:val="000000"/>
                <w:kern w:val="0"/>
                <w:sz w:val="24"/>
                <w:szCs w:val="24"/>
                <w:u w:val="none"/>
                <w:lang w:val="en-US" w:eastAsia="zh-CN" w:bidi="ar"/>
              </w:rPr>
              <w:t>项目</w:t>
            </w:r>
            <w:r>
              <w:rPr>
                <w:rFonts w:hint="eastAsia" w:ascii="微软雅黑" w:hAnsi="微软雅黑" w:eastAsia="微软雅黑" w:cs="微软雅黑"/>
                <w:b/>
                <w:bCs/>
                <w:color w:val="000000"/>
                <w:sz w:val="24"/>
                <w:szCs w:val="24"/>
                <w:lang w:val="en-US" w:eastAsia="zh-CN" w:bidi="ar"/>
              </w:rPr>
              <w:t>行程示例（7天）</w:t>
            </w:r>
          </w:p>
        </w:tc>
      </w:tr>
      <w:tr w14:paraId="0D5E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31" w:type="dxa"/>
            <w:vAlign w:val="center"/>
          </w:tcPr>
          <w:p w14:paraId="60BF8B00">
            <w:pPr>
              <w:widowControl w:val="0"/>
              <w:jc w:val="center"/>
              <w:rPr>
                <w:rFonts w:hint="eastAsia" w:ascii="微软雅黑" w:hAnsi="微软雅黑" w:eastAsia="微软雅黑" w:cs="微软雅黑"/>
                <w:vertAlign w:val="baseline"/>
                <w:lang w:val="en-US" w:eastAsia="zh-CN"/>
              </w:rPr>
            </w:pPr>
            <w:r>
              <w:rPr>
                <w:rFonts w:hint="eastAsia" w:ascii="微软雅黑" w:hAnsi="微软雅黑" w:eastAsia="微软雅黑" w:cs="微软雅黑"/>
                <w:b/>
                <w:color w:val="000000"/>
                <w:lang w:bidi="ar"/>
              </w:rPr>
              <w:t>日期</w:t>
            </w:r>
          </w:p>
        </w:tc>
        <w:tc>
          <w:tcPr>
            <w:tcW w:w="2130" w:type="dxa"/>
            <w:vAlign w:val="center"/>
          </w:tcPr>
          <w:p w14:paraId="69FE1B14">
            <w:pPr>
              <w:widowControl w:val="0"/>
              <w:jc w:val="center"/>
              <w:rPr>
                <w:rFonts w:hint="eastAsia" w:ascii="微软雅黑" w:hAnsi="微软雅黑" w:eastAsia="微软雅黑" w:cs="微软雅黑"/>
                <w:vertAlign w:val="baseline"/>
              </w:rPr>
            </w:pPr>
            <w:r>
              <w:rPr>
                <w:rFonts w:hint="eastAsia" w:ascii="微软雅黑" w:hAnsi="微软雅黑" w:eastAsia="微软雅黑" w:cs="微软雅黑"/>
                <w:b/>
                <w:color w:val="000000"/>
                <w:lang w:bidi="ar"/>
              </w:rPr>
              <w:t>企业名称</w:t>
            </w:r>
          </w:p>
        </w:tc>
        <w:tc>
          <w:tcPr>
            <w:tcW w:w="4785" w:type="dxa"/>
            <w:vAlign w:val="center"/>
          </w:tcPr>
          <w:p w14:paraId="27311E3F">
            <w:pPr>
              <w:widowControl w:val="0"/>
              <w:jc w:val="center"/>
              <w:rPr>
                <w:rFonts w:hint="eastAsia" w:ascii="微软雅黑" w:hAnsi="微软雅黑" w:eastAsia="微软雅黑" w:cs="微软雅黑"/>
                <w:vertAlign w:val="baseline"/>
              </w:rPr>
            </w:pPr>
            <w:r>
              <w:rPr>
                <w:rFonts w:hint="eastAsia" w:ascii="微软雅黑" w:hAnsi="微软雅黑" w:eastAsia="微软雅黑" w:cs="微软雅黑"/>
                <w:b/>
                <w:color w:val="000000"/>
                <w:lang w:bidi="ar"/>
              </w:rPr>
              <w:t>参访学习主题</w:t>
            </w:r>
          </w:p>
        </w:tc>
      </w:tr>
      <w:tr w14:paraId="2C3DA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231" w:type="dxa"/>
            <w:vAlign w:val="center"/>
          </w:tcPr>
          <w:p w14:paraId="122A7E64">
            <w:pPr>
              <w:widowControl w:val="0"/>
              <w:spacing w:line="240" w:lineRule="auto"/>
              <w:jc w:val="center"/>
              <w:textAlignment w:val="center"/>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第1天</w:t>
            </w:r>
          </w:p>
        </w:tc>
        <w:tc>
          <w:tcPr>
            <w:tcW w:w="6915" w:type="dxa"/>
            <w:gridSpan w:val="2"/>
            <w:vAlign w:val="center"/>
          </w:tcPr>
          <w:p w14:paraId="5824CDAC">
            <w:pPr>
              <w:widowControl w:val="0"/>
              <w:jc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出发赴</w:t>
            </w:r>
            <w:r>
              <w:rPr>
                <w:rFonts w:hint="eastAsia" w:ascii="微软雅黑" w:hAnsi="微软雅黑" w:eastAsia="微软雅黑" w:cs="微软雅黑"/>
                <w:color w:val="000000"/>
                <w:sz w:val="21"/>
                <w:szCs w:val="21"/>
                <w:lang w:val="en-US" w:eastAsia="zh-CN"/>
              </w:rPr>
              <w:t>韩国</w:t>
            </w:r>
            <w:r>
              <w:rPr>
                <w:rFonts w:hint="eastAsia" w:ascii="微软雅黑" w:hAnsi="微软雅黑" w:eastAsia="微软雅黑" w:cs="微软雅黑"/>
                <w:color w:val="000000"/>
                <w:sz w:val="21"/>
                <w:szCs w:val="21"/>
              </w:rPr>
              <w:t>，抵达</w:t>
            </w:r>
            <w:r>
              <w:rPr>
                <w:rFonts w:hint="eastAsia" w:ascii="微软雅黑" w:hAnsi="微软雅黑" w:eastAsia="微软雅黑" w:cs="微软雅黑"/>
                <w:color w:val="000000"/>
                <w:sz w:val="21"/>
                <w:szCs w:val="21"/>
                <w:lang w:val="en-US" w:eastAsia="zh-CN"/>
              </w:rPr>
              <w:t>并办理入住</w:t>
            </w:r>
          </w:p>
        </w:tc>
      </w:tr>
      <w:tr w14:paraId="6FF17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1231" w:type="dxa"/>
            <w:vMerge w:val="restart"/>
            <w:vAlign w:val="center"/>
          </w:tcPr>
          <w:p w14:paraId="26F26A3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w:t>
            </w: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天</w:t>
            </w:r>
          </w:p>
        </w:tc>
        <w:tc>
          <w:tcPr>
            <w:tcW w:w="2130" w:type="dxa"/>
            <w:vAlign w:val="center"/>
          </w:tcPr>
          <w:p w14:paraId="4C1D41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首尔大学官方课程</w:t>
            </w:r>
          </w:p>
        </w:tc>
        <w:tc>
          <w:tcPr>
            <w:tcW w:w="4785" w:type="dxa"/>
            <w:vAlign w:val="center"/>
          </w:tcPr>
          <w:p w14:paraId="463E333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AI课程</w:t>
            </w:r>
            <w:r>
              <w:rPr>
                <w:rFonts w:hint="eastAsia" w:ascii="微软雅黑" w:hAnsi="微软雅黑" w:eastAsia="微软雅黑" w:cs="微软雅黑"/>
                <w:b/>
                <w:bCs/>
                <w:sz w:val="21"/>
                <w:szCs w:val="21"/>
                <w:vertAlign w:val="baseline"/>
                <w:lang w:eastAsia="zh-CN"/>
              </w:rPr>
              <w:t>（</w:t>
            </w:r>
            <w:r>
              <w:rPr>
                <w:rFonts w:hint="eastAsia" w:ascii="微软雅黑" w:hAnsi="微软雅黑" w:eastAsia="微软雅黑" w:cs="微软雅黑"/>
                <w:b/>
                <w:bCs/>
                <w:sz w:val="21"/>
                <w:szCs w:val="21"/>
                <w:vertAlign w:val="baseline"/>
                <w:lang w:val="en-US" w:eastAsia="zh-CN"/>
              </w:rPr>
              <w:t>一</w:t>
            </w:r>
            <w:r>
              <w:rPr>
                <w:rFonts w:hint="eastAsia" w:ascii="微软雅黑" w:hAnsi="微软雅黑" w:eastAsia="微软雅黑" w:cs="微软雅黑"/>
                <w:b/>
                <w:bCs/>
                <w:sz w:val="21"/>
                <w:szCs w:val="21"/>
                <w:vertAlign w:val="baseline"/>
                <w:lang w:eastAsia="zh-CN"/>
              </w:rPr>
              <w:t>）：</w:t>
            </w:r>
            <w:r>
              <w:rPr>
                <w:rFonts w:hint="eastAsia" w:ascii="微软雅黑" w:hAnsi="微软雅黑" w:eastAsia="微软雅黑" w:cs="微软雅黑"/>
                <w:b/>
                <w:bCs/>
                <w:sz w:val="21"/>
                <w:szCs w:val="21"/>
                <w:vertAlign w:val="baseline"/>
                <w:lang w:val="en-US" w:eastAsia="zh-CN"/>
              </w:rPr>
              <w:t>通用人工智能的现状与未来应用展望</w:t>
            </w:r>
          </w:p>
          <w:p w14:paraId="3215442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sz w:val="21"/>
                <w:szCs w:val="21"/>
                <w:vertAlign w:val="baseline"/>
                <w:lang w:val="en-US" w:eastAsia="zh-CN"/>
              </w:rPr>
            </w:pPr>
            <w:r>
              <w:rPr>
                <w:rFonts w:hint="default" w:ascii="微软雅黑" w:hAnsi="微软雅黑" w:eastAsia="微软雅黑" w:cs="微软雅黑"/>
                <w:sz w:val="21"/>
                <w:szCs w:val="21"/>
                <w:vertAlign w:val="baseline"/>
                <w:lang w:val="en-US" w:eastAsia="zh-CN"/>
              </w:rPr>
              <w:t>课程带领参与者一窥AGI的现状与未来，从基础理论出发，结合韩国在芯片与半导体技术上的硬件积累，探讨“智能”如何从底层逻辑构建；</w:t>
            </w:r>
          </w:p>
          <w:p w14:paraId="7641FB1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微软雅黑" w:hAnsi="微软雅黑" w:eastAsia="微软雅黑" w:cs="微软雅黑"/>
                <w:sz w:val="21"/>
                <w:szCs w:val="21"/>
                <w:vertAlign w:val="baseline"/>
                <w:lang w:val="en-US" w:eastAsia="zh-CN"/>
              </w:rPr>
            </w:pPr>
            <w:r>
              <w:rPr>
                <w:rFonts w:hint="default" w:ascii="微软雅黑" w:hAnsi="微软雅黑" w:eastAsia="微软雅黑" w:cs="微软雅黑"/>
                <w:sz w:val="21"/>
                <w:szCs w:val="21"/>
                <w:vertAlign w:val="baseline"/>
                <w:lang w:val="en-US" w:eastAsia="zh-CN"/>
              </w:rPr>
              <w:t>探讨AI伦理与安全议题，思考技术背后的责任；探索文字、图像、声音如何协同创造奇迹，结合韩国在跨模态内容生成（如K-POP虚拟偶像）及智慧城市中的前沿应用，看技术如何实现商业落地。</w:t>
            </w:r>
          </w:p>
        </w:tc>
      </w:tr>
      <w:tr w14:paraId="57D2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1231" w:type="dxa"/>
            <w:vMerge w:val="continue"/>
            <w:vAlign w:val="center"/>
          </w:tcPr>
          <w:p w14:paraId="4049BC3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p>
        </w:tc>
        <w:tc>
          <w:tcPr>
            <w:tcW w:w="2130" w:type="dxa"/>
            <w:vAlign w:val="center"/>
          </w:tcPr>
          <w:p w14:paraId="7B2A230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i w:val="0"/>
                <w:iCs w:val="0"/>
                <w:color w:val="000000"/>
                <w:sz w:val="21"/>
                <w:szCs w:val="21"/>
                <w:u w:val="none"/>
                <w:lang w:val="en-US" w:eastAsia="zh-CN" w:bidi="ar-SA"/>
              </w:rPr>
              <w:t>科技参访</w:t>
            </w:r>
          </w:p>
        </w:tc>
        <w:tc>
          <w:tcPr>
            <w:tcW w:w="4785" w:type="dxa"/>
            <w:vAlign w:val="center"/>
          </w:tcPr>
          <w:p w14:paraId="7AF89AD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bCs/>
                <w:i w:val="0"/>
                <w:iCs w:val="0"/>
                <w:color w:val="000000"/>
                <w:sz w:val="21"/>
                <w:szCs w:val="21"/>
                <w:u w:val="none"/>
                <w:lang w:val="en-US" w:eastAsia="zh-CN" w:bidi="ar-SA"/>
              </w:rPr>
              <w:t xml:space="preserve">参访RAIM首尔机器人与AI科技馆 </w:t>
            </w:r>
          </w:p>
          <w:p w14:paraId="0F47EA9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b w:val="0"/>
                <w:bCs w:val="0"/>
                <w:i w:val="0"/>
                <w:iCs w:val="0"/>
                <w:color w:val="000000"/>
                <w:sz w:val="21"/>
                <w:szCs w:val="21"/>
                <w:u w:val="none"/>
                <w:lang w:val="en-US" w:eastAsia="zh-CN" w:bidi="ar-SA"/>
              </w:rPr>
              <w:t>感受科技力量</w:t>
            </w:r>
          </w:p>
        </w:tc>
      </w:tr>
      <w:tr w14:paraId="3BBC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1231" w:type="dxa"/>
            <w:vMerge w:val="restart"/>
            <w:vAlign w:val="center"/>
          </w:tcPr>
          <w:p w14:paraId="3075E01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w:t>
            </w: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天</w:t>
            </w:r>
          </w:p>
        </w:tc>
        <w:tc>
          <w:tcPr>
            <w:tcW w:w="2130" w:type="dxa"/>
            <w:vAlign w:val="center"/>
          </w:tcPr>
          <w:p w14:paraId="7B41E27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首尔大学官方课程</w:t>
            </w:r>
          </w:p>
        </w:tc>
        <w:tc>
          <w:tcPr>
            <w:tcW w:w="4785" w:type="dxa"/>
            <w:vAlign w:val="center"/>
          </w:tcPr>
          <w:p w14:paraId="4C99076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sz w:val="21"/>
                <w:szCs w:val="21"/>
                <w:vertAlign w:val="baseline"/>
                <w:lang w:eastAsia="zh-CN"/>
              </w:rPr>
            </w:pPr>
            <w:r>
              <w:rPr>
                <w:rFonts w:hint="eastAsia" w:ascii="微软雅黑" w:hAnsi="微软雅黑" w:eastAsia="微软雅黑" w:cs="微软雅黑"/>
                <w:b/>
                <w:bCs/>
                <w:sz w:val="21"/>
                <w:szCs w:val="21"/>
                <w:vertAlign w:val="baseline"/>
                <w:lang w:val="en-US" w:eastAsia="zh-CN"/>
              </w:rPr>
              <w:t>AI课程</w:t>
            </w:r>
            <w:r>
              <w:rPr>
                <w:rFonts w:hint="eastAsia" w:ascii="微软雅黑" w:hAnsi="微软雅黑" w:eastAsia="微软雅黑" w:cs="微软雅黑"/>
                <w:b/>
                <w:bCs/>
                <w:sz w:val="21"/>
                <w:szCs w:val="21"/>
                <w:vertAlign w:val="baseline"/>
                <w:lang w:eastAsia="zh-CN"/>
              </w:rPr>
              <w:t>（</w:t>
            </w:r>
            <w:r>
              <w:rPr>
                <w:rFonts w:hint="eastAsia" w:ascii="微软雅黑" w:hAnsi="微软雅黑" w:eastAsia="微软雅黑" w:cs="微软雅黑"/>
                <w:b/>
                <w:bCs/>
                <w:sz w:val="21"/>
                <w:szCs w:val="21"/>
                <w:vertAlign w:val="baseline"/>
                <w:lang w:val="en-US" w:eastAsia="zh-CN"/>
              </w:rPr>
              <w:t>二</w:t>
            </w:r>
            <w:r>
              <w:rPr>
                <w:rFonts w:hint="eastAsia" w:ascii="微软雅黑" w:hAnsi="微软雅黑" w:eastAsia="微软雅黑" w:cs="微软雅黑"/>
                <w:b/>
                <w:bCs/>
                <w:sz w:val="21"/>
                <w:szCs w:val="21"/>
                <w:vertAlign w:val="baseline"/>
                <w:lang w:eastAsia="zh-CN"/>
              </w:rPr>
              <w:t>）：机器学习和数据科学基础</w:t>
            </w:r>
          </w:p>
          <w:p w14:paraId="46FB79E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微软雅黑" w:hAnsi="微软雅黑" w:eastAsia="微软雅黑" w:cs="微软雅黑"/>
                <w:sz w:val="21"/>
                <w:szCs w:val="21"/>
                <w:vertAlign w:val="baseline"/>
                <w:lang w:val="en-US"/>
              </w:rPr>
            </w:pPr>
            <w:r>
              <w:rPr>
                <w:rFonts w:hint="default" w:ascii="微软雅黑" w:hAnsi="微软雅黑" w:eastAsia="微软雅黑" w:cs="微软雅黑"/>
                <w:sz w:val="21"/>
                <w:szCs w:val="21"/>
                <w:vertAlign w:val="baseline"/>
                <w:lang w:val="en-US"/>
              </w:rPr>
              <w:t>课程带领参与者从机器学习算法原理出发，结合韩国顶尖企业在实际业务中的应用，了解算法如何驱动产品创新；</w:t>
            </w:r>
          </w:p>
          <w:p w14:paraId="605A740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微软雅黑" w:hAnsi="微软雅黑" w:eastAsia="微软雅黑" w:cs="微软雅黑"/>
                <w:sz w:val="21"/>
                <w:szCs w:val="21"/>
                <w:vertAlign w:val="baseline"/>
                <w:lang w:val="en-US"/>
              </w:rPr>
            </w:pPr>
            <w:r>
              <w:rPr>
                <w:rFonts w:hint="default" w:ascii="微软雅黑" w:hAnsi="微软雅黑" w:eastAsia="微软雅黑" w:cs="微软雅黑"/>
                <w:sz w:val="21"/>
                <w:szCs w:val="21"/>
                <w:vertAlign w:val="baseline"/>
                <w:lang w:val="en-US"/>
              </w:rPr>
              <w:t>了解掌握数据挖掘技术，探讨韩国在智慧城市、医疗健康以及文娱产业中的精彩应用，看到数据挖掘如何改变生活；</w:t>
            </w:r>
          </w:p>
          <w:p w14:paraId="6E75839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微软雅黑" w:hAnsi="微软雅黑" w:eastAsia="微软雅黑" w:cs="微软雅黑"/>
                <w:sz w:val="21"/>
                <w:szCs w:val="21"/>
                <w:vertAlign w:val="baseline"/>
                <w:lang w:val="en-US"/>
              </w:rPr>
            </w:pPr>
            <w:r>
              <w:rPr>
                <w:rFonts w:hint="default" w:ascii="微软雅黑" w:hAnsi="微软雅黑" w:eastAsia="微软雅黑" w:cs="微软雅黑"/>
                <w:sz w:val="21"/>
                <w:szCs w:val="21"/>
                <w:vertAlign w:val="baseline"/>
                <w:lang w:val="en-US"/>
              </w:rPr>
              <w:t>学习掌握数据处理与可视化，让参与者学会用图表展现洞见，成为数据沟通的高手。</w:t>
            </w:r>
          </w:p>
        </w:tc>
      </w:tr>
      <w:tr w14:paraId="78E0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jc w:val="center"/>
        </w:trPr>
        <w:tc>
          <w:tcPr>
            <w:tcW w:w="1231" w:type="dxa"/>
            <w:vMerge w:val="continue"/>
            <w:vAlign w:val="center"/>
          </w:tcPr>
          <w:p w14:paraId="3EE304D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p>
        </w:tc>
        <w:tc>
          <w:tcPr>
            <w:tcW w:w="2130" w:type="dxa"/>
            <w:shd w:val="clear" w:color="auto" w:fill="auto"/>
            <w:vAlign w:val="center"/>
          </w:tcPr>
          <w:p w14:paraId="6C7FBC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color w:val="000000"/>
                <w:sz w:val="21"/>
                <w:szCs w:val="21"/>
                <w:lang w:val="en-US" w:eastAsia="zh-CN"/>
              </w:rPr>
              <w:t>名企</w:t>
            </w:r>
            <w:r>
              <w:rPr>
                <w:rFonts w:hint="eastAsia" w:ascii="微软雅黑" w:hAnsi="微软雅黑" w:eastAsia="微软雅黑" w:cs="微软雅黑"/>
                <w:color w:val="000000"/>
                <w:sz w:val="21"/>
                <w:szCs w:val="21"/>
              </w:rPr>
              <w:t>参访</w:t>
            </w:r>
          </w:p>
        </w:tc>
        <w:tc>
          <w:tcPr>
            <w:tcW w:w="4785" w:type="dxa"/>
            <w:shd w:val="clear" w:color="auto" w:fill="auto"/>
            <w:vAlign w:val="center"/>
          </w:tcPr>
          <w:p w14:paraId="2924D7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bCs/>
                <w:i w:val="0"/>
                <w:iCs w:val="0"/>
                <w:snapToGrid w:val="0"/>
                <w:color w:val="000000"/>
                <w:kern w:val="0"/>
                <w:sz w:val="21"/>
                <w:szCs w:val="21"/>
                <w:u w:val="none"/>
                <w:lang w:val="en-US" w:eastAsia="zh-CN" w:bidi="ar"/>
              </w:rPr>
              <w:t>名企参访（一）</w:t>
            </w:r>
            <w:r>
              <w:rPr>
                <w:rFonts w:hint="eastAsia" w:ascii="微软雅黑" w:hAnsi="微软雅黑" w:eastAsia="微软雅黑" w:cs="微软雅黑"/>
                <w:b/>
                <w:bCs/>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Visit：SAMSUNG</w:t>
            </w:r>
            <w:r>
              <w:rPr>
                <w:rFonts w:hint="eastAsia" w:ascii="微软雅黑" w:hAnsi="微软雅黑" w:eastAsia="微软雅黑" w:cs="微软雅黑"/>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参访韩国知名企业，介绍公司CSR战略&amp;未来生活理念。</w:t>
            </w:r>
          </w:p>
        </w:tc>
      </w:tr>
      <w:tr w14:paraId="33914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1231" w:type="dxa"/>
            <w:vMerge w:val="restart"/>
            <w:vAlign w:val="center"/>
          </w:tcPr>
          <w:p w14:paraId="5CAE5A7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w:t>
            </w: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天</w:t>
            </w:r>
          </w:p>
        </w:tc>
        <w:tc>
          <w:tcPr>
            <w:tcW w:w="2130" w:type="dxa"/>
            <w:shd w:val="clear" w:color="auto" w:fill="auto"/>
            <w:vAlign w:val="center"/>
          </w:tcPr>
          <w:p w14:paraId="6AA5BF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color w:val="000000"/>
                <w:sz w:val="21"/>
                <w:szCs w:val="21"/>
                <w:lang w:val="en-US" w:eastAsia="zh-CN"/>
              </w:rPr>
              <w:t>名校参访</w:t>
            </w:r>
          </w:p>
        </w:tc>
        <w:tc>
          <w:tcPr>
            <w:tcW w:w="4785" w:type="dxa"/>
            <w:shd w:val="clear" w:color="auto" w:fill="auto"/>
            <w:vAlign w:val="center"/>
          </w:tcPr>
          <w:p w14:paraId="066A42E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000000"/>
                <w:sz w:val="21"/>
                <w:szCs w:val="21"/>
                <w:lang w:val="en-US" w:eastAsia="zh-CN"/>
              </w:rPr>
            </w:pPr>
            <w:r>
              <w:rPr>
                <w:rFonts w:hint="eastAsia" w:ascii="微软雅黑" w:hAnsi="微软雅黑" w:eastAsia="微软雅黑" w:cs="微软雅黑"/>
                <w:b/>
                <w:bCs/>
                <w:color w:val="000000"/>
                <w:sz w:val="21"/>
                <w:szCs w:val="21"/>
                <w:lang w:val="en-US" w:eastAsia="zh-CN"/>
              </w:rPr>
              <w:t>名校参访（二）</w:t>
            </w:r>
          </w:p>
          <w:p w14:paraId="3F00CAF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Visit：梨花女子大学</w:t>
            </w:r>
          </w:p>
          <w:p w14:paraId="309E35F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val="0"/>
                <w:bCs w:val="0"/>
                <w:i w:val="0"/>
                <w:iCs w:val="0"/>
                <w:color w:val="000000"/>
                <w:sz w:val="21"/>
                <w:szCs w:val="21"/>
                <w:u w:val="none"/>
                <w:lang w:val="en-US" w:eastAsia="zh-CN" w:bidi="ar-SA"/>
              </w:rPr>
              <w:t>体验名校文化、感受名校氛围</w:t>
            </w:r>
          </w:p>
        </w:tc>
      </w:tr>
      <w:tr w14:paraId="64D1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4" w:hRule="atLeast"/>
          <w:jc w:val="center"/>
        </w:trPr>
        <w:tc>
          <w:tcPr>
            <w:tcW w:w="1231" w:type="dxa"/>
            <w:vMerge w:val="continue"/>
            <w:vAlign w:val="center"/>
          </w:tcPr>
          <w:p w14:paraId="6EF64CD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000000"/>
                <w:sz w:val="21"/>
                <w:szCs w:val="21"/>
              </w:rPr>
            </w:pPr>
          </w:p>
        </w:tc>
        <w:tc>
          <w:tcPr>
            <w:tcW w:w="2130" w:type="dxa"/>
            <w:shd w:val="clear" w:color="auto" w:fill="auto"/>
            <w:vAlign w:val="center"/>
          </w:tcPr>
          <w:p w14:paraId="55738D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snapToGrid w:val="0"/>
                <w:color w:val="000000"/>
                <w:kern w:val="0"/>
                <w:sz w:val="21"/>
                <w:szCs w:val="21"/>
                <w:u w:val="none"/>
                <w:lang w:val="en-US" w:eastAsia="zh-CN" w:bidi="ar"/>
              </w:rPr>
            </w:pPr>
            <w:r>
              <w:rPr>
                <w:rFonts w:hint="eastAsia" w:ascii="微软雅黑" w:hAnsi="微软雅黑" w:eastAsia="微软雅黑" w:cs="微软雅黑"/>
                <w:color w:val="000000"/>
                <w:sz w:val="21"/>
                <w:szCs w:val="21"/>
                <w:lang w:val="en-US" w:eastAsia="zh-CN"/>
              </w:rPr>
              <w:t>名企</w:t>
            </w:r>
            <w:r>
              <w:rPr>
                <w:rFonts w:hint="eastAsia" w:ascii="微软雅黑" w:hAnsi="微软雅黑" w:eastAsia="微软雅黑" w:cs="微软雅黑"/>
                <w:color w:val="000000"/>
                <w:sz w:val="21"/>
                <w:szCs w:val="21"/>
              </w:rPr>
              <w:t>参访</w:t>
            </w:r>
          </w:p>
        </w:tc>
        <w:tc>
          <w:tcPr>
            <w:tcW w:w="4785" w:type="dxa"/>
            <w:shd w:val="clear" w:color="auto" w:fill="auto"/>
            <w:vAlign w:val="center"/>
          </w:tcPr>
          <w:p w14:paraId="4F2884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snapToGrid w:val="0"/>
                <w:color w:val="000000"/>
                <w:kern w:val="0"/>
                <w:sz w:val="21"/>
                <w:szCs w:val="21"/>
                <w:u w:val="none"/>
                <w:lang w:val="en-US" w:eastAsia="zh-CN" w:bidi="ar"/>
              </w:rPr>
            </w:pPr>
            <w:r>
              <w:rPr>
                <w:rFonts w:hint="eastAsia" w:ascii="微软雅黑" w:hAnsi="微软雅黑" w:eastAsia="微软雅黑" w:cs="微软雅黑"/>
                <w:b/>
                <w:bCs/>
                <w:i w:val="0"/>
                <w:iCs w:val="0"/>
                <w:snapToGrid w:val="0"/>
                <w:color w:val="000000"/>
                <w:kern w:val="0"/>
                <w:sz w:val="21"/>
                <w:szCs w:val="21"/>
                <w:u w:val="none"/>
                <w:lang w:val="en-US" w:eastAsia="zh-CN" w:bidi="ar"/>
              </w:rPr>
              <w:t>名企参访（二）</w:t>
            </w:r>
            <w:r>
              <w:rPr>
                <w:rFonts w:hint="eastAsia" w:ascii="微软雅黑" w:hAnsi="微软雅黑" w:eastAsia="微软雅黑" w:cs="微软雅黑"/>
                <w:b/>
                <w:bCs/>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Visit：SK Hynix</w:t>
            </w:r>
            <w:r>
              <w:rPr>
                <w:rFonts w:hint="eastAsia" w:ascii="微软雅黑" w:hAnsi="微软雅黑" w:eastAsia="微软雅黑" w:cs="微软雅黑"/>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参访韩国知名企业，介绍公司CSR战略&amp;未来生活理念。</w:t>
            </w:r>
          </w:p>
        </w:tc>
      </w:tr>
      <w:tr w14:paraId="6173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1231" w:type="dxa"/>
            <w:vMerge w:val="restart"/>
            <w:vAlign w:val="center"/>
          </w:tcPr>
          <w:p w14:paraId="2CF3F0C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天</w:t>
            </w:r>
          </w:p>
        </w:tc>
        <w:tc>
          <w:tcPr>
            <w:tcW w:w="2130" w:type="dxa"/>
            <w:shd w:val="clear" w:color="auto" w:fill="auto"/>
            <w:vAlign w:val="center"/>
          </w:tcPr>
          <w:p w14:paraId="683907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sz w:val="21"/>
                <w:szCs w:val="21"/>
                <w:vertAlign w:val="baseline"/>
                <w:lang w:val="en-US" w:eastAsia="zh-CN"/>
              </w:rPr>
              <w:t>首尔大学官方课程</w:t>
            </w:r>
          </w:p>
        </w:tc>
        <w:tc>
          <w:tcPr>
            <w:tcW w:w="4785" w:type="dxa"/>
            <w:shd w:val="clear" w:color="auto" w:fill="auto"/>
            <w:vAlign w:val="center"/>
          </w:tcPr>
          <w:p w14:paraId="5A0396B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sz w:val="21"/>
                <w:szCs w:val="21"/>
                <w:vertAlign w:val="baseline"/>
                <w:lang w:eastAsia="zh-CN"/>
              </w:rPr>
            </w:pPr>
            <w:r>
              <w:rPr>
                <w:rFonts w:hint="eastAsia" w:ascii="微软雅黑" w:hAnsi="微软雅黑" w:eastAsia="微软雅黑" w:cs="微软雅黑"/>
                <w:b/>
                <w:bCs/>
                <w:sz w:val="21"/>
                <w:szCs w:val="21"/>
                <w:vertAlign w:val="baseline"/>
                <w:lang w:val="en-US" w:eastAsia="zh-CN"/>
              </w:rPr>
              <w:t>AI课程</w:t>
            </w:r>
            <w:r>
              <w:rPr>
                <w:rFonts w:hint="eastAsia" w:ascii="微软雅黑" w:hAnsi="微软雅黑" w:eastAsia="微软雅黑" w:cs="微软雅黑"/>
                <w:b/>
                <w:bCs/>
                <w:sz w:val="21"/>
                <w:szCs w:val="21"/>
                <w:vertAlign w:val="baseline"/>
                <w:lang w:eastAsia="zh-CN"/>
              </w:rPr>
              <w:t>（</w:t>
            </w:r>
            <w:r>
              <w:rPr>
                <w:rFonts w:hint="eastAsia" w:ascii="微软雅黑" w:hAnsi="微软雅黑" w:eastAsia="微软雅黑" w:cs="微软雅黑"/>
                <w:b/>
                <w:bCs/>
                <w:sz w:val="21"/>
                <w:szCs w:val="21"/>
                <w:vertAlign w:val="baseline"/>
                <w:lang w:val="en-US" w:eastAsia="zh-CN"/>
              </w:rPr>
              <w:t>三</w:t>
            </w:r>
            <w:r>
              <w:rPr>
                <w:rFonts w:hint="eastAsia" w:ascii="微软雅黑" w:hAnsi="微软雅黑" w:eastAsia="微软雅黑" w:cs="微软雅黑"/>
                <w:b/>
                <w:bCs/>
                <w:sz w:val="21"/>
                <w:szCs w:val="21"/>
                <w:vertAlign w:val="baseline"/>
                <w:lang w:eastAsia="zh-CN"/>
              </w:rPr>
              <w:t>）：数据分析与金融工程</w:t>
            </w:r>
          </w:p>
          <w:p w14:paraId="4D8FF7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学习了解金融数据建模方法，掌握量化分析的基础逻辑。结合韩国在消费金融大数据上的丰富积累，了解韩国金融机构如何利用数据模型评估信用、预测风险，实现精准风控；</w:t>
            </w:r>
          </w:p>
          <w:p w14:paraId="5C2788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详解量化交易策略设计，揭秘韩国年轻一代如何开发自己的自动交易机器人，让投资变得更智能；</w:t>
            </w:r>
          </w:p>
          <w:p w14:paraId="2D8F3DB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sz w:val="21"/>
                <w:szCs w:val="21"/>
                <w:vertAlign w:val="baseline"/>
                <w:lang w:val="en-US" w:eastAsia="zh-CN"/>
              </w:rPr>
              <w:t>结合韩国在移动支付、区块链金融及数据产业应用领域的创新实践，看AI如何守护金融安全，提升用户体验。</w:t>
            </w:r>
          </w:p>
        </w:tc>
      </w:tr>
      <w:tr w14:paraId="6F7C9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231" w:type="dxa"/>
            <w:vMerge w:val="continue"/>
            <w:vAlign w:val="center"/>
          </w:tcPr>
          <w:p w14:paraId="5F0B43B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p>
        </w:tc>
        <w:tc>
          <w:tcPr>
            <w:tcW w:w="2130" w:type="dxa"/>
            <w:shd w:val="clear" w:color="auto" w:fill="auto"/>
            <w:vAlign w:val="center"/>
          </w:tcPr>
          <w:p w14:paraId="2CAF43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color w:val="000000"/>
                <w:sz w:val="21"/>
                <w:szCs w:val="21"/>
                <w:u w:val="none"/>
                <w:lang w:val="en-US" w:eastAsia="zh-CN" w:bidi="ar-SA"/>
              </w:rPr>
              <w:t>小组结营汇报</w:t>
            </w:r>
          </w:p>
        </w:tc>
        <w:tc>
          <w:tcPr>
            <w:tcW w:w="4785" w:type="dxa"/>
            <w:shd w:val="clear" w:color="auto" w:fill="auto"/>
            <w:vAlign w:val="center"/>
          </w:tcPr>
          <w:p w14:paraId="34FDAC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bCs/>
                <w:i w:val="0"/>
                <w:iCs w:val="0"/>
                <w:color w:val="000000"/>
                <w:sz w:val="21"/>
                <w:szCs w:val="21"/>
                <w:u w:val="none"/>
                <w:lang w:val="en-US" w:eastAsia="zh-CN" w:bidi="ar-SA"/>
              </w:rPr>
              <w:t>结营仪式</w:t>
            </w:r>
          </w:p>
        </w:tc>
      </w:tr>
      <w:tr w14:paraId="5E6CF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231" w:type="dxa"/>
            <w:vAlign w:val="center"/>
          </w:tcPr>
          <w:p w14:paraId="1394E9D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w:t>
            </w: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天</w:t>
            </w:r>
          </w:p>
        </w:tc>
        <w:tc>
          <w:tcPr>
            <w:tcW w:w="2130" w:type="dxa"/>
            <w:shd w:val="clear" w:color="auto" w:fill="auto"/>
            <w:vAlign w:val="center"/>
          </w:tcPr>
          <w:p w14:paraId="095FE9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i w:val="0"/>
                <w:iCs w:val="0"/>
                <w:color w:val="000000"/>
                <w:sz w:val="21"/>
                <w:szCs w:val="21"/>
                <w:u w:val="none"/>
                <w:lang w:val="en-US" w:eastAsia="zh-CN" w:bidi="ar-SA"/>
              </w:rPr>
            </w:pPr>
            <w:r>
              <w:rPr>
                <w:rFonts w:hint="eastAsia" w:ascii="微软雅黑" w:hAnsi="微软雅黑" w:eastAsia="微软雅黑" w:cs="微软雅黑"/>
                <w:i w:val="0"/>
                <w:iCs w:val="0"/>
                <w:color w:val="000000"/>
                <w:sz w:val="21"/>
                <w:szCs w:val="21"/>
                <w:u w:val="none"/>
                <w:lang w:val="en-US" w:eastAsia="zh-CN" w:bidi="ar-SA"/>
              </w:rPr>
              <w:t>首尔自由活动</w:t>
            </w:r>
          </w:p>
        </w:tc>
        <w:tc>
          <w:tcPr>
            <w:tcW w:w="4785" w:type="dxa"/>
            <w:shd w:val="clear" w:color="auto" w:fill="auto"/>
            <w:vAlign w:val="center"/>
          </w:tcPr>
          <w:p w14:paraId="1226BF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bCs/>
                <w:i w:val="0"/>
                <w:iCs w:val="0"/>
                <w:color w:val="000000"/>
                <w:sz w:val="21"/>
                <w:szCs w:val="21"/>
                <w:u w:val="none"/>
                <w:lang w:val="en-US" w:eastAsia="zh-CN" w:bidi="ar-SA"/>
              </w:rPr>
              <w:t>韩国首尔文化自由体验</w:t>
            </w:r>
          </w:p>
          <w:p w14:paraId="59C4F2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bCs/>
                <w:i w:val="0"/>
                <w:iCs w:val="0"/>
                <w:color w:val="000000"/>
                <w:sz w:val="21"/>
                <w:szCs w:val="21"/>
                <w:u w:val="none"/>
                <w:lang w:val="en-US" w:eastAsia="zh-CN" w:bidi="ar-SA"/>
              </w:rPr>
            </w:pPr>
            <w:r>
              <w:rPr>
                <w:rFonts w:hint="eastAsia" w:ascii="微软雅黑" w:hAnsi="微软雅黑" w:eastAsia="微软雅黑" w:cs="微软雅黑"/>
                <w:b w:val="0"/>
                <w:bCs w:val="0"/>
                <w:i w:val="0"/>
                <w:iCs w:val="0"/>
                <w:color w:val="000000"/>
                <w:sz w:val="21"/>
                <w:szCs w:val="21"/>
                <w:u w:val="none"/>
                <w:lang w:val="en-US" w:eastAsia="zh-CN" w:bidi="ar-SA"/>
              </w:rPr>
              <w:t>深入了解韩国历史文化，促进人文交流</w:t>
            </w:r>
          </w:p>
        </w:tc>
      </w:tr>
      <w:tr w14:paraId="58BB0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231" w:type="dxa"/>
            <w:vAlign w:val="center"/>
          </w:tcPr>
          <w:p w14:paraId="43FE60E0">
            <w:pPr>
              <w:widowControl w:val="0"/>
              <w:jc w:val="center"/>
              <w:rPr>
                <w:rFonts w:hint="eastAsia" w:ascii="微软雅黑" w:hAnsi="微软雅黑" w:eastAsia="微软雅黑" w:cs="微软雅黑"/>
                <w:sz w:val="21"/>
                <w:szCs w:val="21"/>
                <w:vertAlign w:val="baseline"/>
              </w:rPr>
            </w:pPr>
            <w:r>
              <w:rPr>
                <w:rFonts w:hint="eastAsia" w:ascii="微软雅黑" w:hAnsi="微软雅黑" w:eastAsia="微软雅黑" w:cs="微软雅黑"/>
                <w:color w:val="000000"/>
                <w:sz w:val="21"/>
                <w:szCs w:val="21"/>
              </w:rPr>
              <w:t>第</w:t>
            </w: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天</w:t>
            </w:r>
          </w:p>
        </w:tc>
        <w:tc>
          <w:tcPr>
            <w:tcW w:w="6915" w:type="dxa"/>
            <w:gridSpan w:val="2"/>
            <w:shd w:val="clear" w:color="auto" w:fill="auto"/>
            <w:vAlign w:val="center"/>
          </w:tcPr>
          <w:p w14:paraId="6942C16E">
            <w:pPr>
              <w:widowControl w:val="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抵达机场，返回中国</w:t>
            </w:r>
          </w:p>
        </w:tc>
      </w:tr>
    </w:tbl>
    <w:p w14:paraId="140F0CE5">
      <w:pPr>
        <w:spacing w:line="360" w:lineRule="auto"/>
        <w:rPr>
          <w:rFonts w:hint="eastAsia" w:ascii="微软雅黑" w:hAnsi="微软雅黑" w:eastAsia="微软雅黑" w:cs="微软雅黑"/>
          <w:b/>
          <w:bCs/>
          <w:color w:val="000000"/>
          <w:lang w:val="en-US" w:eastAsia="zh-CN" w:bidi="ar"/>
        </w:rPr>
      </w:pPr>
    </w:p>
    <w:p w14:paraId="4EE6897C">
      <w:pPr>
        <w:rPr>
          <w:rFonts w:hint="eastAsia"/>
          <w:lang w:val="en-US" w:eastAsia="zh-CN"/>
        </w:rPr>
      </w:pPr>
    </w:p>
    <w:p w14:paraId="2998B498">
      <w:pPr>
        <w:rPr>
          <w:rFonts w:hint="eastAsia"/>
          <w:lang w:val="en-US" w:eastAsia="zh-CN"/>
        </w:rPr>
      </w:pPr>
    </w:p>
    <w:p w14:paraId="7338C624">
      <w:pPr>
        <w:spacing w:line="360" w:lineRule="auto"/>
        <w:rPr>
          <w:rFonts w:hint="default"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韩国大学</w:t>
      </w:r>
    </w:p>
    <w:p w14:paraId="6F277645">
      <w:pPr>
        <w:spacing w:line="360" w:lineRule="auto"/>
        <w:rPr>
          <w:rFonts w:hint="eastAsia" w:ascii="微软雅黑" w:hAnsi="微软雅黑" w:eastAsia="微软雅黑" w:cs="微软雅黑"/>
          <w:color w:val="B72024"/>
          <w:lang w:bidi="ar"/>
        </w:rPr>
      </w:pPr>
      <w:r>
        <w:rPr>
          <w:rFonts w:hint="eastAsia" w:ascii="微软雅黑" w:hAnsi="微软雅黑" w:eastAsia="微软雅黑" w:cs="微软雅黑"/>
          <w:b/>
          <w:bCs/>
          <w:color w:val="000000"/>
          <w:lang w:val="en-US" w:eastAsia="zh-CN" w:bidi="ar"/>
        </w:rPr>
        <w:t>首尔大学</w:t>
      </w:r>
    </w:p>
    <w:p w14:paraId="346D74E6">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首尔大学（韩语：서울대학교；英语：Seoul National University），又称“首尔国立大学”，简称“首尔大”，位于韩国首都首尔，建校于1946年，是韩国最早成立的一所国立综合性大学之一，是亚洲顶尖、世界知名的研究型国立综合大学之一，是韩国公认的最高学府，享有“韩民族最高学府”之称。首尔大学是环太平洋大学联盟、泛亚学生论坛、亚洲大学联盟、东亚四大学论坛和东亚研究型大学协会成员，与延世大学（Yonsei University）和高丽大学（Korea University）并称为韩国大学的一片天。</w:t>
      </w:r>
    </w:p>
    <w:p w14:paraId="4791B12B">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default"/>
          <w:lang w:val="en-US" w:eastAsia="zh-CN"/>
        </w:rPr>
      </w:pPr>
      <w:r>
        <w:rPr>
          <w:rFonts w:hint="eastAsia" w:ascii="微软雅黑" w:hAnsi="微软雅黑" w:eastAsia="微软雅黑" w:cs="微软雅黑"/>
          <w:sz w:val="21"/>
          <w:szCs w:val="21"/>
          <w:lang w:val="en-US" w:eastAsia="zh-CN"/>
        </w:rPr>
        <w:t>学校设有冠岳校区、延根校区、水原校区、平昌校区、始兴校区共计5个校区。有学院16个，学科（系）89个，10个联合专业，12个联动专业。2026QS世界大学排名位列38位，2026泰晤士高等教育世界大学排名位列58位。</w:t>
      </w:r>
    </w:p>
    <w:p w14:paraId="3FA0C2AD">
      <w:pPr>
        <w:spacing w:line="360" w:lineRule="auto"/>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1792605" cy="1950085"/>
            <wp:effectExtent l="0" t="0" r="17145" b="12065"/>
            <wp:docPr id="13" name="图片 13" descr="85d29908d8b68e7426bde733baf6c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5d29908d8b68e7426bde733baf6cdb5"/>
                    <pic:cNvPicPr>
                      <a:picLocks noChangeAspect="1"/>
                    </pic:cNvPicPr>
                  </pic:nvPicPr>
                  <pic:blipFill>
                    <a:blip r:embed="rId9"/>
                    <a:srcRect t="15218" b="3143"/>
                    <a:stretch>
                      <a:fillRect/>
                    </a:stretch>
                  </pic:blipFill>
                  <pic:spPr>
                    <a:xfrm>
                      <a:off x="0" y="0"/>
                      <a:ext cx="1792605" cy="1950085"/>
                    </a:xfrm>
                    <a:prstGeom prst="roundRect">
                      <a:avLst/>
                    </a:prstGeom>
                  </pic:spPr>
                </pic:pic>
              </a:graphicData>
            </a:graphic>
          </wp:inline>
        </w:drawing>
      </w:r>
      <w:r>
        <w:rPr>
          <w:rFonts w:hint="eastAsia"/>
          <w:lang w:val="en-US" w:eastAsia="zh-CN"/>
        </w:rPr>
        <w:t xml:space="preserve">  </w:t>
      </w:r>
      <w:r>
        <w:rPr>
          <w:rFonts w:hint="default" w:ascii="仿宋" w:hAnsi="仿宋" w:eastAsia="仿宋"/>
          <w:lang w:val="en-US" w:eastAsia="zh-CN"/>
        </w:rPr>
        <w:drawing>
          <wp:inline distT="0" distB="0" distL="114300" distR="114300">
            <wp:extent cx="2924175" cy="1873250"/>
            <wp:effectExtent l="0" t="0" r="9525" b="12700"/>
            <wp:docPr id="15" name="图片 15" descr="68e92cce8f155db9b10879f1b25868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8e92cce8f155db9b10879f1b25868ce"/>
                    <pic:cNvPicPr>
                      <a:picLocks noChangeAspect="1"/>
                    </pic:cNvPicPr>
                  </pic:nvPicPr>
                  <pic:blipFill>
                    <a:blip r:embed="rId10"/>
                    <a:stretch>
                      <a:fillRect/>
                    </a:stretch>
                  </pic:blipFill>
                  <pic:spPr>
                    <a:xfrm>
                      <a:off x="0" y="0"/>
                      <a:ext cx="2924175" cy="1873250"/>
                    </a:xfrm>
                    <a:prstGeom prst="rect">
                      <a:avLst/>
                    </a:prstGeom>
                  </pic:spPr>
                </pic:pic>
              </a:graphicData>
            </a:graphic>
          </wp:inline>
        </w:drawing>
      </w:r>
    </w:p>
    <w:p w14:paraId="7BFB18CE">
      <w:pPr>
        <w:rPr>
          <w:rFonts w:hint="eastAsia"/>
          <w:lang w:val="en-US" w:eastAsia="zh-CN"/>
        </w:rPr>
      </w:pPr>
    </w:p>
    <w:p w14:paraId="08CAC7B9">
      <w:pPr>
        <w:spacing w:line="360" w:lineRule="auto"/>
        <w:rPr>
          <w:rFonts w:hint="eastAsia" w:ascii="微软雅黑" w:hAnsi="微软雅黑" w:eastAsia="微软雅黑" w:cs="微软雅黑"/>
          <w:b/>
          <w:bCs/>
          <w:color w:val="000000"/>
          <w:lang w:val="en-US" w:eastAsia="zh-CN" w:bidi="ar"/>
        </w:rPr>
      </w:pPr>
    </w:p>
    <w:p w14:paraId="79FDF95A">
      <w:pPr>
        <w:spacing w:line="360" w:lineRule="auto"/>
        <w:rPr>
          <w:rFonts w:hint="eastAsia" w:ascii="微软雅黑" w:hAnsi="微软雅黑" w:eastAsia="微软雅黑" w:cs="微软雅黑"/>
          <w:b/>
          <w:bCs/>
          <w:color w:val="000000"/>
          <w:lang w:val="en-US" w:eastAsia="zh-CN" w:bidi="ar"/>
        </w:rPr>
      </w:pPr>
    </w:p>
    <w:p w14:paraId="1DFFFD3B">
      <w:pPr>
        <w:spacing w:line="360" w:lineRule="auto"/>
        <w:rPr>
          <w:rFonts w:hint="eastAsia"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梨花女子大学</w:t>
      </w:r>
    </w:p>
    <w:p w14:paraId="6F60A1B4">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梨花女子大学（韩语：이화여자대학교，英语：Ewha Womans University），是位于韩国首尔境内的私立大学，历史最悠久的大学之一，也是亚洲AACSB认证大学之一。 其创立于1886年，前身是韩国第一所女子学堂——梨花学堂。1925年梨花学院成立，1946年成为韩国第一所获得政府认证的大学，1948年改名为梨花女子大学。1963年授予第一批博士学位。</w:t>
      </w:r>
    </w:p>
    <w:p w14:paraId="4BC2EA54">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lang w:val="en-US" w:eastAsia="zh-CN"/>
        </w:rPr>
      </w:pPr>
      <w:r>
        <w:rPr>
          <w:rFonts w:hint="eastAsia" w:ascii="微软雅黑" w:hAnsi="微软雅黑" w:eastAsia="微软雅黑" w:cs="微软雅黑"/>
          <w:sz w:val="21"/>
          <w:szCs w:val="21"/>
          <w:lang w:val="en-US" w:eastAsia="zh-CN"/>
        </w:rPr>
        <w:t>截至2024年12月，学校有15个本科学院，79个系（学部·专业），直属附属机构45个，全球性的继续教育学院1个，附属医院2个，直属学校4个，附属学校2个，研究机构89个。梨花女子大学不仅是韩国历史最悠久的著名女子综合类大学，也是世界上最大的女子大学。</w:t>
      </w:r>
    </w:p>
    <w:p w14:paraId="17774731">
      <w:pPr>
        <w:rPr>
          <w:rFonts w:hint="default"/>
          <w:lang w:val="en-US" w:eastAsia="zh-CN"/>
        </w:rPr>
      </w:pPr>
      <w:r>
        <w:rPr>
          <w:rFonts w:hint="eastAsia"/>
          <w:lang w:val="en-US" w:eastAsia="zh-CN"/>
        </w:rPr>
        <w:t xml:space="preserve">     </w:t>
      </w:r>
      <w:r>
        <w:rPr>
          <w:rFonts w:hint="eastAsia"/>
          <w:lang w:val="en-US" w:eastAsia="zh-CN"/>
        </w:rPr>
        <w:drawing>
          <wp:inline distT="0" distB="0" distL="114300" distR="114300">
            <wp:extent cx="1907540" cy="1823720"/>
            <wp:effectExtent l="0" t="0" r="16510" b="5080"/>
            <wp:docPr id="18" name="图片 18" descr="f444dce283ebfeea4f793fb55e7e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444dce283ebfeea4f793fb55e7e2359"/>
                    <pic:cNvPicPr>
                      <a:picLocks noChangeAspect="1"/>
                    </pic:cNvPicPr>
                  </pic:nvPicPr>
                  <pic:blipFill>
                    <a:blip r:embed="rId11"/>
                    <a:srcRect t="7451" b="20888"/>
                    <a:stretch>
                      <a:fillRect/>
                    </a:stretch>
                  </pic:blipFill>
                  <pic:spPr>
                    <a:xfrm>
                      <a:off x="0" y="0"/>
                      <a:ext cx="1907540" cy="1823720"/>
                    </a:xfrm>
                    <a:prstGeom prst="round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178685" cy="1770380"/>
            <wp:effectExtent l="0" t="0" r="12065" b="1270"/>
            <wp:docPr id="19" name="图片 19" descr="2376b1743e38cbb673bdc5953e7899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376b1743e38cbb673bdc5953e78991f"/>
                    <pic:cNvPicPr>
                      <a:picLocks noChangeAspect="1"/>
                    </pic:cNvPicPr>
                  </pic:nvPicPr>
                  <pic:blipFill>
                    <a:blip r:embed="rId12"/>
                    <a:srcRect t="4123" b="8807"/>
                    <a:stretch>
                      <a:fillRect/>
                    </a:stretch>
                  </pic:blipFill>
                  <pic:spPr>
                    <a:xfrm>
                      <a:off x="0" y="0"/>
                      <a:ext cx="2178685" cy="1770380"/>
                    </a:xfrm>
                    <a:prstGeom prst="rect">
                      <a:avLst/>
                    </a:prstGeom>
                  </pic:spPr>
                </pic:pic>
              </a:graphicData>
            </a:graphic>
          </wp:inline>
        </w:drawing>
      </w:r>
    </w:p>
    <w:p w14:paraId="4A989BEB">
      <w:pPr>
        <w:rPr>
          <w:rFonts w:hint="eastAsia"/>
          <w:lang w:val="en-US" w:eastAsia="zh-CN"/>
        </w:rPr>
      </w:pPr>
    </w:p>
    <w:p w14:paraId="1D17B24F">
      <w:pPr>
        <w:spacing w:line="360" w:lineRule="auto"/>
        <w:rPr>
          <w:rFonts w:hint="eastAsia" w:ascii="微软雅黑" w:hAnsi="微软雅黑" w:eastAsia="微软雅黑" w:cs="微软雅黑"/>
          <w:b/>
          <w:bCs/>
          <w:color w:val="auto"/>
          <w:lang w:bidi="ar"/>
        </w:rPr>
      </w:pPr>
    </w:p>
    <w:p w14:paraId="7E57E618">
      <w:pPr>
        <w:spacing w:line="360" w:lineRule="auto"/>
        <w:rPr>
          <w:rFonts w:hint="eastAsia" w:ascii="微软雅黑" w:hAnsi="微软雅黑" w:eastAsia="微软雅黑" w:cs="微软雅黑"/>
          <w:b/>
          <w:bCs/>
          <w:color w:val="auto"/>
          <w:lang w:val="en-US" w:eastAsia="zh-CN" w:bidi="ar"/>
        </w:rPr>
      </w:pPr>
    </w:p>
    <w:p w14:paraId="73149F9D">
      <w:pPr>
        <w:spacing w:line="360" w:lineRule="auto"/>
        <w:rPr>
          <w:rFonts w:hint="eastAsia" w:ascii="微软雅黑" w:hAnsi="微软雅黑" w:eastAsia="微软雅黑" w:cs="微软雅黑"/>
          <w:b/>
          <w:bCs/>
          <w:color w:val="auto"/>
          <w:lang w:val="en-US" w:eastAsia="zh-CN" w:bidi="ar"/>
        </w:rPr>
      </w:pPr>
    </w:p>
    <w:p w14:paraId="488FC55A">
      <w:pPr>
        <w:spacing w:line="360" w:lineRule="auto"/>
        <w:rPr>
          <w:rFonts w:hint="eastAsia" w:ascii="微软雅黑" w:hAnsi="微软雅黑" w:eastAsia="微软雅黑" w:cs="微软雅黑"/>
          <w:b/>
          <w:bCs/>
          <w:color w:val="auto"/>
          <w:lang w:val="en-US" w:eastAsia="zh-CN" w:bidi="ar"/>
        </w:rPr>
      </w:pPr>
      <w:r>
        <w:rPr>
          <w:rFonts w:hint="eastAsia" w:ascii="微软雅黑" w:hAnsi="微软雅黑" w:eastAsia="微软雅黑" w:cs="微软雅黑"/>
          <w:b/>
          <w:bCs/>
          <w:color w:val="auto"/>
          <w:lang w:val="en-US" w:eastAsia="zh-CN" w:bidi="ar"/>
        </w:rPr>
        <w:t>韩国名企业</w:t>
      </w:r>
    </w:p>
    <w:p w14:paraId="509FEAFD">
      <w:pPr>
        <w:spacing w:line="360" w:lineRule="auto"/>
        <w:rPr>
          <w:rFonts w:hint="default"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 xml:space="preserve">LG集团 </w:t>
      </w:r>
    </w:p>
    <w:p w14:paraId="1AE58392">
      <w:pPr>
        <w:spacing w:line="360" w:lineRule="auto"/>
        <w:rPr>
          <w:rFonts w:hint="eastAsia" w:ascii="仿宋" w:hAnsi="仿宋" w:eastAsia="仿宋"/>
          <w:b/>
          <w:bCs/>
          <w:color w:val="000000"/>
          <w:lang w:val="en-US" w:eastAsia="zh-CN" w:bidi="ar"/>
        </w:rPr>
      </w:pPr>
      <w:r>
        <w:rPr>
          <w:rFonts w:hint="eastAsia" w:ascii="仿宋" w:hAnsi="仿宋" w:eastAsia="仿宋"/>
          <w:b/>
          <w:bCs/>
          <w:color w:val="000000"/>
          <w:lang w:val="en-US" w:eastAsia="zh-CN" w:bidi="ar"/>
        </w:rPr>
        <w:drawing>
          <wp:inline distT="0" distB="0" distL="114300" distR="114300">
            <wp:extent cx="2557780" cy="2214880"/>
            <wp:effectExtent l="0" t="0" r="13970" b="13970"/>
            <wp:docPr id="23" name="图片 23" descr="d3b1c743200e29dff63bd17d2a6767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3b1c743200e29dff63bd17d2a6767ec"/>
                    <pic:cNvPicPr>
                      <a:picLocks noChangeAspect="1"/>
                    </pic:cNvPicPr>
                  </pic:nvPicPr>
                  <pic:blipFill>
                    <a:blip r:embed="rId13"/>
                    <a:srcRect t="16267" b="2071"/>
                    <a:stretch>
                      <a:fillRect/>
                    </a:stretch>
                  </pic:blipFill>
                  <pic:spPr>
                    <a:xfrm>
                      <a:off x="0" y="0"/>
                      <a:ext cx="2557780" cy="2214880"/>
                    </a:xfrm>
                    <a:prstGeom prst="roundRect">
                      <a:avLst/>
                    </a:prstGeom>
                  </pic:spPr>
                </pic:pic>
              </a:graphicData>
            </a:graphic>
          </wp:inline>
        </w:drawing>
      </w:r>
    </w:p>
    <w:p w14:paraId="73B203D3">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LG集团是1947年成立于韩国首尔的国际性企业集团，总部位于首尔市永登浦区。集团在171个国家与地区建立了300多家海外办事机构，旗下子公司包括LG电子、LG display、LG化学、LG生活健康等，事业领域覆盖化学能源、电子电器、通讯与服务等。2024年，在全球品牌价值500强中排名第83位。公司官网：https://www.lgcorp.com/</w:t>
      </w:r>
    </w:p>
    <w:p w14:paraId="2115C8BF">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val="0"/>
          <w:color w:val="auto"/>
          <w:sz w:val="21"/>
          <w:szCs w:val="21"/>
          <w:lang w:val="en-US" w:eastAsia="zh-CN"/>
        </w:rPr>
      </w:pPr>
    </w:p>
    <w:p w14:paraId="0CB323B2">
      <w:pPr>
        <w:spacing w:line="360" w:lineRule="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bCs/>
          <w:sz w:val="24"/>
          <w:szCs w:val="24"/>
          <w:lang w:val="en-US" w:eastAsia="zh-CN"/>
        </w:rPr>
        <w:t>SK海力士（SK Hynix）</w:t>
      </w:r>
    </w:p>
    <w:p w14:paraId="76234784">
      <w:pPr>
        <w:spacing w:line="360" w:lineRule="auto"/>
        <w:rPr>
          <w:rFonts w:hint="eastAsia" w:ascii="微软雅黑" w:hAnsi="微软雅黑" w:eastAsia="微软雅黑" w:cs="微软雅黑"/>
          <w:b w:val="0"/>
          <w:bCs w:val="0"/>
          <w:color w:val="auto"/>
          <w:lang w:val="en-US" w:eastAsia="zh-CN"/>
        </w:rPr>
      </w:pPr>
      <w:r>
        <w:rPr>
          <w:rFonts w:hint="eastAsia" w:ascii="微软雅黑" w:hAnsi="微软雅黑" w:eastAsia="微软雅黑" w:cs="微软雅黑"/>
          <w:b w:val="0"/>
          <w:bCs w:val="0"/>
          <w:color w:val="auto"/>
          <w:lang w:val="en-US" w:eastAsia="zh-CN"/>
        </w:rPr>
        <w:drawing>
          <wp:inline distT="0" distB="0" distL="114300" distR="114300">
            <wp:extent cx="2493645" cy="1780540"/>
            <wp:effectExtent l="0" t="0" r="1905" b="10160"/>
            <wp:docPr id="30" name="图片 30" descr="d84248796d6d1a371b3aca1395be80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84248796d6d1a371b3aca1395be80cf"/>
                    <pic:cNvPicPr>
                      <a:picLocks noChangeAspect="1"/>
                    </pic:cNvPicPr>
                  </pic:nvPicPr>
                  <pic:blipFill>
                    <a:blip r:embed="rId14"/>
                    <a:stretch>
                      <a:fillRect/>
                    </a:stretch>
                  </pic:blipFill>
                  <pic:spPr>
                    <a:xfrm>
                      <a:off x="0" y="0"/>
                      <a:ext cx="2493645" cy="1780540"/>
                    </a:xfrm>
                    <a:prstGeom prst="roundRect">
                      <a:avLst/>
                    </a:prstGeom>
                  </pic:spPr>
                </pic:pic>
              </a:graphicData>
            </a:graphic>
          </wp:inline>
        </w:drawing>
      </w:r>
    </w:p>
    <w:p w14:paraId="17AB6797">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SK海力士（SK Hynix）是韩国半导体制造商，成立于1983年，前身为现代电子产业有限公司，总部位于韩国，主营业务为DRAM与NAND闪存生产。</w:t>
      </w:r>
    </w:p>
    <w:p w14:paraId="4175515D">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1996年在韩国上市，2001年从现代集团分离并更名为海力士半导体，2004年转型为专业存储器制造商。2012年被SK集团收购后改现名。2021年完成收购英特尔NAND闪存及SSD业务第一阶段。2022年5月启动大连非易失性存储器项目，同年8月宣布在美国建设先进芯片封装厂。2023年成为全球唯一实现HBM3芯片量产的企业，其HBM3E产品占据全球64%市场份额，同年12月成立AI Infra部门专注人工智能芯片业务。2025年完成HBM4开发，全球DRAM市场占有率达38%，高带宽内存(HBM)芯片出货量占全球市场份额超过50%，芯片产能已被全数预订。公司官网：https://www.skhynix.com/</w:t>
      </w:r>
    </w:p>
    <w:p w14:paraId="7258CC9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微软雅黑" w:hAnsi="微软雅黑" w:eastAsia="微软雅黑" w:cs="微软雅黑"/>
          <w:sz w:val="21"/>
          <w:szCs w:val="21"/>
          <w:lang w:val="en-US" w:eastAsia="zh-CN"/>
        </w:rPr>
      </w:pPr>
    </w:p>
    <w:p w14:paraId="05DBE16D">
      <w:pPr>
        <w:spacing w:line="360" w:lineRule="auto"/>
        <w:rPr>
          <w:rFonts w:hint="eastAsia"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三星集团（SAMSUNG）</w:t>
      </w:r>
    </w:p>
    <w:p w14:paraId="0F7F74F2">
      <w:pPr>
        <w:spacing w:line="360" w:lineRule="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drawing>
          <wp:inline distT="0" distB="0" distL="114300" distR="114300">
            <wp:extent cx="2955290" cy="1970405"/>
            <wp:effectExtent l="0" t="0" r="16510" b="10795"/>
            <wp:docPr id="34" name="图片 34" descr="0f6da8d431fadaca6b22058f131e0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f6da8d431fadaca6b22058f131e00d1"/>
                    <pic:cNvPicPr>
                      <a:picLocks noChangeAspect="1"/>
                    </pic:cNvPicPr>
                  </pic:nvPicPr>
                  <pic:blipFill>
                    <a:blip r:embed="rId15"/>
                    <a:stretch>
                      <a:fillRect/>
                    </a:stretch>
                  </pic:blipFill>
                  <pic:spPr>
                    <a:xfrm>
                      <a:off x="0" y="0"/>
                      <a:ext cx="2955290" cy="1970405"/>
                    </a:xfrm>
                    <a:prstGeom prst="roundRect">
                      <a:avLst/>
                    </a:prstGeom>
                  </pic:spPr>
                </pic:pic>
              </a:graphicData>
            </a:graphic>
          </wp:inline>
        </w:drawing>
      </w:r>
    </w:p>
    <w:p w14:paraId="39698D34">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三星是一家业务涉及电子、金融、机械、化学等行业的韩国跨国企业集团，成立于1938年，总部地点在韩国京畿道城南市盆唐区书岘洞地区。三星集团是家族企业，旗下各个三星产业均为家族产业，并由家族中的其他成员管理</w:t>
      </w:r>
      <w:r>
        <w:rPr>
          <w:rFonts w:hint="eastAsia" w:ascii="微软雅黑" w:hAnsi="微软雅黑" w:eastAsia="微软雅黑" w:cs="微软雅黑"/>
          <w:sz w:val="21"/>
          <w:szCs w:val="21"/>
          <w:lang w:val="en-US" w:eastAsia="zh-CN"/>
        </w:rPr>
        <w:t>。1989年三星在韩国上市，1996年三星集团跻身全球第五大集团。三星旗下30多家公司中已有 23 家在中国投资，包括三星电子、三星 SDI、三星 SDS、三星电机、三星康宁、三星生命、三星证券、三星物产等。公司官网：https://www.samsung.com/sec/</w:t>
      </w:r>
    </w:p>
    <w:p w14:paraId="07C05DE0">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微软雅黑" w:hAnsi="微软雅黑" w:eastAsia="微软雅黑" w:cs="微软雅黑"/>
          <w:b/>
          <w:bCs/>
          <w:sz w:val="24"/>
          <w:szCs w:val="24"/>
          <w:lang w:val="en-US" w:eastAsia="zh-CN"/>
        </w:rPr>
      </w:pPr>
    </w:p>
    <w:p w14:paraId="628C80D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微软雅黑" w:hAnsi="微软雅黑" w:eastAsia="微软雅黑" w:cs="微软雅黑"/>
          <w:b/>
          <w:bCs/>
          <w:sz w:val="24"/>
          <w:szCs w:val="24"/>
          <w:lang w:val="en-US" w:eastAsia="zh-CN"/>
        </w:rPr>
      </w:pPr>
    </w:p>
    <w:p w14:paraId="6965338E">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微软雅黑" w:hAnsi="微软雅黑" w:eastAsia="微软雅黑" w:cs="微软雅黑"/>
          <w:b/>
          <w:bCs/>
          <w:sz w:val="24"/>
          <w:szCs w:val="24"/>
          <w:lang w:val="en-US" w:eastAsia="zh-CN"/>
        </w:rPr>
      </w:pPr>
    </w:p>
    <w:p w14:paraId="18C8A143">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文化体验</w:t>
      </w:r>
    </w:p>
    <w:p w14:paraId="3C188BFB">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eastAsia="宋体"/>
          <w:lang w:eastAsia="zh-CN"/>
        </w:rPr>
      </w:pPr>
      <w:r>
        <w:rPr>
          <w:rFonts w:hint="eastAsia" w:ascii="微软雅黑" w:hAnsi="微软雅黑" w:eastAsia="微软雅黑" w:cs="微软雅黑"/>
          <w:b/>
          <w:bCs/>
          <w:sz w:val="24"/>
          <w:szCs w:val="24"/>
          <w:lang w:val="en-US" w:eastAsia="zh-CN"/>
        </w:rPr>
        <w:t xml:space="preserve">景福宫 </w:t>
      </w:r>
    </w:p>
    <w:p w14:paraId="04694E00">
      <w:pPr>
        <w:rPr>
          <w:rFonts w:hint="eastAsia" w:eastAsia="宋体"/>
          <w:lang w:eastAsia="zh-CN"/>
        </w:rPr>
      </w:pPr>
      <w:r>
        <w:rPr>
          <w:rFonts w:hint="eastAsia" w:eastAsia="宋体"/>
          <w:lang w:eastAsia="zh-CN"/>
        </w:rPr>
        <w:drawing>
          <wp:inline distT="0" distB="0" distL="114300" distR="114300">
            <wp:extent cx="1800225" cy="1680210"/>
            <wp:effectExtent l="0" t="0" r="9525" b="15240"/>
            <wp:docPr id="41" name="图片 41" descr="b49fcd650e28d0d3c1bbad3ad5a9b1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b49fcd650e28d0d3c1bbad3ad5a9b1dc"/>
                    <pic:cNvPicPr>
                      <a:picLocks noChangeAspect="1"/>
                    </pic:cNvPicPr>
                  </pic:nvPicPr>
                  <pic:blipFill>
                    <a:blip r:embed="rId16"/>
                    <a:srcRect t="12990" b="17058"/>
                    <a:stretch>
                      <a:fillRect/>
                    </a:stretch>
                  </pic:blipFill>
                  <pic:spPr>
                    <a:xfrm>
                      <a:off x="0" y="0"/>
                      <a:ext cx="1800225" cy="1680210"/>
                    </a:xfrm>
                    <a:prstGeom prst="roundRect">
                      <a:avLst/>
                    </a:prstGeom>
                  </pic:spPr>
                </pic:pic>
              </a:graphicData>
            </a:graphic>
          </wp:inline>
        </w:drawing>
      </w:r>
    </w:p>
    <w:p w14:paraId="2523360E">
      <w:pPr>
        <w:keepNext w:val="0"/>
        <w:keepLines w:val="0"/>
        <w:pageBreakBefore w:val="0"/>
        <w:widowControl/>
        <w:kinsoku w:val="0"/>
        <w:wordWrap/>
        <w:overflowPunct/>
        <w:topLinePunct w:val="0"/>
        <w:autoSpaceDE w:val="0"/>
        <w:autoSpaceDN w:val="0"/>
        <w:bidi w:val="0"/>
        <w:adjustRightInd w:val="0"/>
        <w:snapToGrid w:val="0"/>
        <w:spacing w:line="520" w:lineRule="exact"/>
        <w:ind w:firstLine="420" w:firstLineChars="200"/>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景福宫始建于1395年，名称取自《诗经》“君子万年，介尔景福”</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位于韩国首尔钟路区社稷路161号，为首尔五大宫之首，因位于城北部又称“北阙”，是朝鲜王朝前期的政治中心。宫殿依明代王府规制建造，现存勤政殿、光化门等主体建筑。</w:t>
      </w:r>
    </w:p>
    <w:p w14:paraId="1FDD646C">
      <w:pPr>
        <w:keepNext w:val="0"/>
        <w:keepLines w:val="0"/>
        <w:pageBreakBefore w:val="0"/>
        <w:widowControl/>
        <w:kinsoku w:val="0"/>
        <w:wordWrap/>
        <w:overflowPunct/>
        <w:topLinePunct w:val="0"/>
        <w:autoSpaceDE w:val="0"/>
        <w:autoSpaceDN w:val="0"/>
        <w:bidi w:val="0"/>
        <w:adjustRightInd w:val="0"/>
        <w:snapToGrid w:val="0"/>
        <w:spacing w:line="520" w:lineRule="exact"/>
        <w:ind w:firstLine="420" w:firstLineChars="200"/>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青瓦红墙极具古韵</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在宫墙上拍照超级出片。每天整点还有守卫换岗仪式，仪式感满满。</w:t>
      </w:r>
    </w:p>
    <w:p w14:paraId="06F54800">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微软雅黑" w:hAnsi="微软雅黑" w:eastAsia="微软雅黑" w:cs="微软雅黑"/>
          <w:sz w:val="21"/>
          <w:szCs w:val="21"/>
          <w:lang w:eastAsia="zh-CN"/>
        </w:rPr>
      </w:pPr>
    </w:p>
    <w:p w14:paraId="76F0352F">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lang w:val="en-US" w:eastAsia="zh-CN"/>
        </w:rPr>
      </w:pPr>
      <w:r>
        <w:rPr>
          <w:rFonts w:hint="eastAsia" w:ascii="微软雅黑" w:hAnsi="微软雅黑" w:eastAsia="微软雅黑" w:cs="微软雅黑"/>
          <w:b/>
          <w:bCs/>
          <w:sz w:val="24"/>
          <w:szCs w:val="24"/>
          <w:lang w:val="en-US" w:eastAsia="zh-CN"/>
        </w:rPr>
        <w:t xml:space="preserve">北村韩屋村 </w:t>
      </w:r>
    </w:p>
    <w:p w14:paraId="08A5EE71">
      <w:pPr>
        <w:rPr>
          <w:rFonts w:hint="eastAsia"/>
          <w:lang w:val="en-US" w:eastAsia="zh-CN"/>
        </w:rPr>
      </w:pPr>
      <w:r>
        <w:rPr>
          <w:rFonts w:hint="eastAsia"/>
          <w:lang w:val="en-US" w:eastAsia="zh-CN"/>
        </w:rPr>
        <w:drawing>
          <wp:inline distT="0" distB="0" distL="114300" distR="114300">
            <wp:extent cx="1795145" cy="1692910"/>
            <wp:effectExtent l="0" t="0" r="14605" b="2540"/>
            <wp:docPr id="44" name="图片 44" descr="9f36ed4ea251a246c865d1be5cabde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9f36ed4ea251a246c865d1be5cabde3f"/>
                    <pic:cNvPicPr>
                      <a:picLocks noChangeAspect="1"/>
                    </pic:cNvPicPr>
                  </pic:nvPicPr>
                  <pic:blipFill>
                    <a:blip r:embed="rId17"/>
                    <a:srcRect t="7726" b="4813"/>
                    <a:stretch>
                      <a:fillRect/>
                    </a:stretch>
                  </pic:blipFill>
                  <pic:spPr>
                    <a:xfrm>
                      <a:off x="0" y="0"/>
                      <a:ext cx="1795145" cy="1692910"/>
                    </a:xfrm>
                    <a:prstGeom prst="roundRect">
                      <a:avLst/>
                    </a:prstGeom>
                  </pic:spPr>
                </pic:pic>
              </a:graphicData>
            </a:graphic>
          </wp:inline>
        </w:drawing>
      </w:r>
    </w:p>
    <w:p w14:paraId="2763A644">
      <w:pPr>
        <w:keepNext w:val="0"/>
        <w:keepLines w:val="0"/>
        <w:pageBreakBefore w:val="0"/>
        <w:widowControl/>
        <w:kinsoku w:val="0"/>
        <w:wordWrap/>
        <w:overflowPunct/>
        <w:topLinePunct w:val="0"/>
        <w:autoSpaceDE w:val="0"/>
        <w:autoSpaceDN w:val="0"/>
        <w:bidi w:val="0"/>
        <w:adjustRightInd w:val="0"/>
        <w:snapToGrid w:val="0"/>
        <w:spacing w:line="520" w:lineRule="exact"/>
        <w:ind w:firstLine="420" w:firstLineChars="200"/>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北村韩屋村位于景福宫、昌德宫、宗庙之间，是传统韩屋密集的地方，也是首尔最具代表性的传统居住地，且到处都有很多史迹、文化遗产和民俗资料。因此，也被称为城市中心的街道博物馆。北村的韩屋特点可概括为两点，即“进化的旧法”和“装饰化倾向”。虽然与传统韩屋相比，未具备完整的品格，但是北村韩屋凝聚着韩屋的结构性和优美。</w:t>
      </w:r>
    </w:p>
    <w:p w14:paraId="7F443C4D">
      <w:pPr>
        <w:keepNext w:val="0"/>
        <w:keepLines w:val="0"/>
        <w:pageBreakBefore w:val="0"/>
        <w:widowControl/>
        <w:kinsoku w:val="0"/>
        <w:wordWrap/>
        <w:overflowPunct/>
        <w:topLinePunct w:val="0"/>
        <w:autoSpaceDE w:val="0"/>
        <w:autoSpaceDN w:val="0"/>
        <w:bidi w:val="0"/>
        <w:adjustRightInd w:val="0"/>
        <w:snapToGrid w:val="0"/>
        <w:spacing w:line="520" w:lineRule="exact"/>
        <w:ind w:firstLine="420" w:firstLineChars="200"/>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drawing>
          <wp:anchor distT="0" distB="0" distL="0" distR="0" simplePos="0" relativeHeight="251660288" behindDoc="1" locked="0" layoutInCell="0" allowOverlap="1">
            <wp:simplePos x="0" y="0"/>
            <wp:positionH relativeFrom="page">
              <wp:posOffset>629920</wp:posOffset>
            </wp:positionH>
            <wp:positionV relativeFrom="page">
              <wp:posOffset>12903835</wp:posOffset>
            </wp:positionV>
            <wp:extent cx="2470785" cy="2004060"/>
            <wp:effectExtent l="0" t="0" r="5715" b="5715"/>
            <wp:wrapThrough wrapText="bothSides">
              <wp:wrapPolygon>
                <wp:start x="1998" y="0"/>
                <wp:lineTo x="1499" y="103"/>
                <wp:lineTo x="167" y="1335"/>
                <wp:lineTo x="0" y="2361"/>
                <wp:lineTo x="0" y="19095"/>
                <wp:lineTo x="83" y="20019"/>
                <wp:lineTo x="1416" y="21354"/>
                <wp:lineTo x="1998" y="21456"/>
                <wp:lineTo x="19485" y="21456"/>
                <wp:lineTo x="20068" y="21354"/>
                <wp:lineTo x="21400" y="19916"/>
                <wp:lineTo x="21483" y="18992"/>
                <wp:lineTo x="21483" y="2361"/>
                <wp:lineTo x="21400" y="1335"/>
                <wp:lineTo x="20068" y="205"/>
                <wp:lineTo x="19485" y="0"/>
                <wp:lineTo x="1998" y="0"/>
              </wp:wrapPolygon>
            </wp:wrapThrough>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8"/>
                    <a:stretch>
                      <a:fillRect/>
                    </a:stretch>
                  </pic:blipFill>
                  <pic:spPr>
                    <a:xfrm>
                      <a:off x="0" y="0"/>
                      <a:ext cx="2470785" cy="2004059"/>
                    </a:xfrm>
                    <a:prstGeom prst="rect">
                      <a:avLst/>
                    </a:prstGeom>
                  </pic:spPr>
                </pic:pic>
              </a:graphicData>
            </a:graphic>
          </wp:anchor>
        </w:drawing>
      </w:r>
      <w:r>
        <w:rPr>
          <w:rFonts w:hint="eastAsia" w:ascii="微软雅黑" w:hAnsi="微软雅黑" w:eastAsia="微软雅黑" w:cs="微软雅黑"/>
          <w:sz w:val="21"/>
          <w:szCs w:val="21"/>
        </w:rPr>
        <w:t>在青瓦层叠、石板铺路的小巷中漫步，两旁藏着许多文艺咖啡馆和手作小店</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在慢时光中一一探索。另外，也</w:t>
      </w:r>
      <w:r>
        <w:rPr>
          <w:rFonts w:hint="eastAsia" w:ascii="微软雅黑" w:hAnsi="微软雅黑" w:eastAsia="微软雅黑" w:cs="微软雅黑"/>
          <w:sz w:val="21"/>
          <w:szCs w:val="21"/>
        </w:rPr>
        <w:t>能拍</w:t>
      </w:r>
      <w:r>
        <w:rPr>
          <w:rFonts w:hint="eastAsia" w:ascii="微软雅黑" w:hAnsi="微软雅黑" w:eastAsia="微软雅黑" w:cs="微软雅黑"/>
          <w:sz w:val="21"/>
          <w:szCs w:val="21"/>
          <w:lang w:val="en-US" w:eastAsia="zh-CN"/>
        </w:rPr>
        <w:t>到不少</w:t>
      </w:r>
      <w:r>
        <w:rPr>
          <w:rFonts w:hint="eastAsia" w:ascii="微软雅黑" w:hAnsi="微软雅黑" w:eastAsia="微软雅黑" w:cs="微软雅黑"/>
          <w:sz w:val="21"/>
          <w:szCs w:val="21"/>
        </w:rPr>
        <w:t>复古大片。</w:t>
      </w:r>
    </w:p>
    <w:p w14:paraId="4E62AFE8">
      <w:pPr>
        <w:keepNext w:val="0"/>
        <w:keepLines w:val="0"/>
        <w:pageBreakBefore w:val="0"/>
        <w:widowControl/>
        <w:kinsoku w:val="0"/>
        <w:wordWrap/>
        <w:overflowPunct/>
        <w:topLinePunct w:val="0"/>
        <w:autoSpaceDE w:val="0"/>
        <w:autoSpaceDN w:val="0"/>
        <w:bidi w:val="0"/>
        <w:adjustRightInd w:val="0"/>
        <w:snapToGrid w:val="0"/>
        <w:spacing w:line="480" w:lineRule="exact"/>
        <w:textAlignment w:val="baseline"/>
        <w:rPr>
          <w:rFonts w:hint="eastAsia" w:ascii="微软雅黑" w:hAnsi="微软雅黑" w:eastAsia="微软雅黑" w:cs="微软雅黑"/>
          <w:b/>
          <w:bCs/>
          <w:sz w:val="24"/>
          <w:szCs w:val="24"/>
        </w:rPr>
      </w:pPr>
    </w:p>
    <w:p w14:paraId="6A64D9B0">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lang w:val="en-US" w:eastAsia="zh-CN"/>
        </w:rPr>
      </w:pPr>
      <w:r>
        <w:rPr>
          <w:rFonts w:hint="eastAsia" w:ascii="微软雅黑" w:hAnsi="微软雅黑" w:eastAsia="微软雅黑" w:cs="微软雅黑"/>
          <w:b/>
          <w:bCs/>
          <w:sz w:val="24"/>
          <w:szCs w:val="24"/>
          <w:lang w:val="en-US" w:eastAsia="zh-CN"/>
        </w:rPr>
        <w:t xml:space="preserve">首尔塔(南山首尔塔) </w:t>
      </w:r>
    </w:p>
    <w:p w14:paraId="5EE6A8DC">
      <w:pPr>
        <w:rPr>
          <w:rFonts w:hint="eastAsia"/>
          <w:lang w:val="en-US" w:eastAsia="zh-CN"/>
        </w:rPr>
      </w:pPr>
      <w:r>
        <w:rPr>
          <w:rFonts w:hint="eastAsia"/>
          <w:lang w:val="en-US" w:eastAsia="zh-CN"/>
        </w:rPr>
        <w:drawing>
          <wp:inline distT="0" distB="0" distL="114300" distR="114300">
            <wp:extent cx="1876425" cy="1847215"/>
            <wp:effectExtent l="0" t="0" r="9525" b="635"/>
            <wp:docPr id="45" name="图片 45" descr="40955129df734d69e5f254b0b524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40955129df734d69e5f254b0b5244483"/>
                    <pic:cNvPicPr>
                      <a:picLocks noChangeAspect="1"/>
                    </pic:cNvPicPr>
                  </pic:nvPicPr>
                  <pic:blipFill>
                    <a:blip r:embed="rId19"/>
                    <a:srcRect t="3425" b="8477"/>
                    <a:stretch>
                      <a:fillRect/>
                    </a:stretch>
                  </pic:blipFill>
                  <pic:spPr>
                    <a:xfrm>
                      <a:off x="0" y="0"/>
                      <a:ext cx="1876425" cy="1847215"/>
                    </a:xfrm>
                    <a:prstGeom prst="roundRect">
                      <a:avLst/>
                    </a:prstGeom>
                  </pic:spPr>
                </pic:pic>
              </a:graphicData>
            </a:graphic>
          </wp:inline>
        </w:drawing>
      </w:r>
    </w:p>
    <w:p w14:paraId="7291F073">
      <w:pPr>
        <w:keepNext w:val="0"/>
        <w:keepLines w:val="0"/>
        <w:pageBreakBefore w:val="0"/>
        <w:widowControl/>
        <w:kinsoku w:val="0"/>
        <w:wordWrap/>
        <w:overflowPunct/>
        <w:topLinePunct w:val="0"/>
        <w:autoSpaceDE w:val="0"/>
        <w:autoSpaceDN w:val="0"/>
        <w:bidi w:val="0"/>
        <w:adjustRightInd w:val="0"/>
        <w:snapToGrid w:val="0"/>
        <w:spacing w:line="520" w:lineRule="exact"/>
        <w:ind w:firstLine="420" w:firstLineChars="200"/>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N首尔塔位于首尔特别市龙山区龙山洞2街，又称首尔塔或汉城塔，高236.7米，建于1975年，是韩国著名的观光点。N首尔塔的N既是南山（Namsan）的第一个字母，又有全新（New）的含义。其新安装了适用于不同季节和不同活动要求的照明设备，粉饰了塔身。每晚7点至12点，还有6支探照灯在天空中拼出鲜花盛开的图案—“首尔之花”。建议傍晚时分乘坐缆车上去，一边看日落，一边等待华灯初上，</w:t>
      </w:r>
      <w:r>
        <w:rPr>
          <w:rFonts w:hint="eastAsia" w:ascii="微软雅黑" w:hAnsi="微软雅黑" w:eastAsia="微软雅黑" w:cs="微软雅黑"/>
          <w:sz w:val="21"/>
          <w:szCs w:val="21"/>
          <w:lang w:val="en-US" w:eastAsia="zh-CN"/>
        </w:rPr>
        <w:t>还</w:t>
      </w:r>
      <w:r>
        <w:rPr>
          <w:rFonts w:hint="eastAsia" w:ascii="微软雅黑" w:hAnsi="微软雅黑" w:eastAsia="微软雅黑" w:cs="微软雅黑"/>
          <w:sz w:val="21"/>
          <w:szCs w:val="21"/>
        </w:rPr>
        <w:t>可以俯瞰整个城市的夜景。</w:t>
      </w:r>
    </w:p>
    <w:p w14:paraId="4CFE7264">
      <w:pPr>
        <w:pStyle w:val="2"/>
        <w:keepNext w:val="0"/>
        <w:keepLines w:val="0"/>
        <w:pageBreakBefore w:val="0"/>
        <w:widowControl/>
        <w:kinsoku w:val="0"/>
        <w:wordWrap/>
        <w:overflowPunct/>
        <w:topLinePunct w:val="0"/>
        <w:autoSpaceDE w:val="0"/>
        <w:autoSpaceDN w:val="0"/>
        <w:bidi w:val="0"/>
        <w:adjustRightInd w:val="0"/>
        <w:snapToGrid w:val="0"/>
        <w:spacing w:before="65" w:line="440" w:lineRule="exact"/>
        <w:textAlignment w:val="baseline"/>
        <w:rPr>
          <w:rFonts w:hint="eastAsia" w:ascii="微软雅黑" w:hAnsi="微软雅黑" w:eastAsia="微软雅黑" w:cs="微软雅黑"/>
          <w:color w:val="262626"/>
          <w:spacing w:val="7"/>
          <w:sz w:val="24"/>
          <w:szCs w:val="24"/>
          <w14:textOutline w14:w="3795" w14:cap="sq" w14:cmpd="sng">
            <w14:solidFill>
              <w14:srgbClr w14:val="262626"/>
            </w14:solidFill>
            <w14:prstDash w14:val="solid"/>
            <w14:bevel/>
          </w14:textOutline>
        </w:rPr>
      </w:pPr>
    </w:p>
    <w:p w14:paraId="791B7DAC">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lang w:val="en-US" w:eastAsia="zh-CN"/>
        </w:rPr>
      </w:pPr>
      <w:r>
        <w:rPr>
          <w:rFonts w:hint="eastAsia" w:ascii="微软雅黑" w:hAnsi="微软雅黑" w:eastAsia="微软雅黑" w:cs="微软雅黑"/>
          <w:b/>
          <w:bCs/>
          <w:sz w:val="24"/>
          <w:szCs w:val="24"/>
          <w:lang w:val="en-US" w:eastAsia="zh-CN"/>
        </w:rPr>
        <w:t xml:space="preserve">星空图书馆 </w:t>
      </w:r>
    </w:p>
    <w:p w14:paraId="751CC965">
      <w:pPr>
        <w:rPr>
          <w:rFonts w:hint="eastAsia"/>
          <w:lang w:val="en-US" w:eastAsia="zh-CN"/>
        </w:rPr>
      </w:pPr>
      <w:r>
        <w:rPr>
          <w:rFonts w:hint="eastAsia"/>
          <w:lang w:val="en-US" w:eastAsia="zh-CN"/>
        </w:rPr>
        <w:drawing>
          <wp:inline distT="0" distB="0" distL="114300" distR="114300">
            <wp:extent cx="1919605" cy="1793875"/>
            <wp:effectExtent l="0" t="0" r="4445" b="15875"/>
            <wp:docPr id="46" name="图片 46" descr="a2febe93f0beff0f36e766f51bc1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a2febe93f0beff0f36e766f51bc17074"/>
                    <pic:cNvPicPr>
                      <a:picLocks noChangeAspect="1"/>
                    </pic:cNvPicPr>
                  </pic:nvPicPr>
                  <pic:blipFill>
                    <a:blip r:embed="rId20"/>
                    <a:srcRect t="1013" b="14609"/>
                    <a:stretch>
                      <a:fillRect/>
                    </a:stretch>
                  </pic:blipFill>
                  <pic:spPr>
                    <a:xfrm>
                      <a:off x="0" y="0"/>
                      <a:ext cx="1919605" cy="1793875"/>
                    </a:xfrm>
                    <a:prstGeom prst="roundRect">
                      <a:avLst/>
                    </a:prstGeom>
                  </pic:spPr>
                </pic:pic>
              </a:graphicData>
            </a:graphic>
          </wp:inline>
        </w:drawing>
      </w:r>
    </w:p>
    <w:p w14:paraId="04C213C9">
      <w:pPr>
        <w:keepNext w:val="0"/>
        <w:keepLines w:val="0"/>
        <w:pageBreakBefore w:val="0"/>
        <w:widowControl/>
        <w:kinsoku w:val="0"/>
        <w:wordWrap/>
        <w:overflowPunct/>
        <w:topLinePunct w:val="0"/>
        <w:autoSpaceDE w:val="0"/>
        <w:autoSpaceDN w:val="0"/>
        <w:bidi w:val="0"/>
        <w:adjustRightInd w:val="0"/>
        <w:snapToGrid w:val="0"/>
        <w:spacing w:line="520" w:lineRule="exact"/>
        <w:ind w:firstLine="420" w:firstLineChars="200"/>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星空图书馆‌‌</w:t>
      </w:r>
      <w:r>
        <w:rPr>
          <w:rFonts w:hint="eastAsia" w:ascii="微软雅黑" w:hAnsi="微软雅黑" w:eastAsia="微软雅黑" w:cs="微软雅黑"/>
          <w:sz w:val="21"/>
          <w:szCs w:val="21"/>
        </w:rPr>
        <w:t>被誉为“韩国最美图书馆”，</w:t>
      </w:r>
      <w:r>
        <w:rPr>
          <w:rFonts w:hint="eastAsia" w:ascii="微软雅黑" w:hAnsi="微软雅黑" w:eastAsia="微软雅黑" w:cs="微软雅黑"/>
          <w:sz w:val="21"/>
          <w:szCs w:val="21"/>
          <w:lang w:val="en-US" w:eastAsia="zh-CN"/>
        </w:rPr>
        <w:t>与一般公共图书馆不同，它是结合建筑设计、文创与打卡景点的开放空间。书架布置在商场中庭位置，以‌三座13米高的巨型书架‌为核心，采用通透玻璃穹顶设计，白天自然光洒落书墙，夜晚‌4万颗LED星灯点亮‌，营造科幻与浪漫交织的沉浸式空间。藏书超‌5万册‌，涵盖文学、人文及生活休闲类，底层提供可阅读的真书区，并设600余种海内外杂志。</w:t>
      </w:r>
    </w:p>
    <w:p w14:paraId="6C520639">
      <w:pPr>
        <w:keepNext w:val="0"/>
        <w:keepLines w:val="0"/>
        <w:pageBreakBefore w:val="0"/>
        <w:widowControl/>
        <w:kinsoku w:val="0"/>
        <w:wordWrap/>
        <w:overflowPunct/>
        <w:topLinePunct w:val="0"/>
        <w:autoSpaceDE w:val="0"/>
        <w:autoSpaceDN w:val="0"/>
        <w:bidi w:val="0"/>
        <w:adjustRightInd w:val="0"/>
        <w:snapToGrid w:val="0"/>
        <w:spacing w:line="520" w:lineRule="exact"/>
        <w:ind w:firstLine="420" w:firstLineChars="200"/>
        <w:textAlignment w:val="baseline"/>
        <w:rPr>
          <w:rFonts w:hint="eastAsia"/>
        </w:rPr>
      </w:pPr>
      <w:r>
        <w:rPr>
          <w:rFonts w:hint="eastAsia" w:ascii="微软雅黑" w:hAnsi="微软雅黑" w:eastAsia="微软雅黑" w:cs="微软雅黑"/>
          <w:sz w:val="21"/>
          <w:szCs w:val="21"/>
        </w:rPr>
        <w:t>高达13米的书墙和星空穹顶，随手一拍都是电影感满满的图片，是人气超高的网红打卡点。</w:t>
      </w:r>
    </w:p>
    <w:p w14:paraId="18F048AD">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微软雅黑" w:hAnsi="微软雅黑" w:eastAsia="微软雅黑" w:cs="微软雅黑"/>
          <w:b/>
          <w:bCs/>
          <w:sz w:val="24"/>
          <w:szCs w:val="24"/>
          <w:lang w:val="en-US" w:eastAsia="zh-CN"/>
        </w:rPr>
      </w:pPr>
    </w:p>
    <w:p w14:paraId="136689CE">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lang w:val="en-US" w:eastAsia="zh-CN"/>
        </w:rPr>
      </w:pPr>
      <w:r>
        <w:rPr>
          <w:rFonts w:hint="eastAsia" w:ascii="微软雅黑" w:hAnsi="微软雅黑" w:eastAsia="微软雅黑" w:cs="微软雅黑"/>
          <w:b/>
          <w:bCs/>
          <w:sz w:val="24"/>
          <w:szCs w:val="24"/>
          <w:lang w:val="en-US" w:eastAsia="zh-CN"/>
        </w:rPr>
        <w:t xml:space="preserve">明洞漫画街 </w:t>
      </w:r>
    </w:p>
    <w:p w14:paraId="4F1B1F2B">
      <w:pPr>
        <w:rPr>
          <w:rFonts w:hint="eastAsia"/>
          <w:lang w:val="en-US" w:eastAsia="zh-CN"/>
        </w:rPr>
      </w:pPr>
      <w:r>
        <w:rPr>
          <w:rFonts w:hint="eastAsia"/>
          <w:lang w:val="en-US" w:eastAsia="zh-CN"/>
        </w:rPr>
        <w:drawing>
          <wp:inline distT="0" distB="0" distL="114300" distR="114300">
            <wp:extent cx="1744980" cy="1673225"/>
            <wp:effectExtent l="0" t="0" r="7620" b="3175"/>
            <wp:docPr id="47" name="图片 47" descr="aa4f8b74c533aef162db56c9a2f9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a4f8b74c533aef162db56c9a2f95447"/>
                    <pic:cNvPicPr>
                      <a:picLocks noChangeAspect="1"/>
                    </pic:cNvPicPr>
                  </pic:nvPicPr>
                  <pic:blipFill>
                    <a:blip r:embed="rId21"/>
                    <a:stretch>
                      <a:fillRect/>
                    </a:stretch>
                  </pic:blipFill>
                  <pic:spPr>
                    <a:xfrm>
                      <a:off x="0" y="0"/>
                      <a:ext cx="1744980" cy="1673225"/>
                    </a:xfrm>
                    <a:prstGeom prst="roundRect">
                      <a:avLst/>
                    </a:prstGeom>
                  </pic:spPr>
                </pic:pic>
              </a:graphicData>
            </a:graphic>
          </wp:inline>
        </w:drawing>
      </w:r>
    </w:p>
    <w:p w14:paraId="74D18AE2">
      <w:pPr>
        <w:keepNext w:val="0"/>
        <w:keepLines w:val="0"/>
        <w:pageBreakBefore w:val="0"/>
        <w:widowControl/>
        <w:kinsoku w:val="0"/>
        <w:wordWrap/>
        <w:overflowPunct/>
        <w:topLinePunct w:val="0"/>
        <w:autoSpaceDE w:val="0"/>
        <w:autoSpaceDN w:val="0"/>
        <w:bidi w:val="0"/>
        <w:adjustRightInd w:val="0"/>
        <w:snapToGrid w:val="0"/>
        <w:spacing w:line="520" w:lineRule="exact"/>
        <w:ind w:firstLine="420" w:firstLineChars="200"/>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明洞大街位于韩国首尔市中区，现存欧式建筑群由英国技师设计建造，20世纪60年代转型为时尚商业区。街道两侧分布乐天百货、新世界百货等大型购物中心，中国大使馆、明洞圣堂等历史建筑，以及剧场、漫画主题街区等文化设施。</w:t>
      </w:r>
    </w:p>
    <w:p w14:paraId="1E08D82F">
      <w:pPr>
        <w:keepNext w:val="0"/>
        <w:keepLines w:val="0"/>
        <w:pageBreakBefore w:val="0"/>
        <w:widowControl/>
        <w:kinsoku w:val="0"/>
        <w:wordWrap/>
        <w:overflowPunct/>
        <w:topLinePunct w:val="0"/>
        <w:autoSpaceDE w:val="0"/>
        <w:autoSpaceDN w:val="0"/>
        <w:bidi w:val="0"/>
        <w:adjustRightInd w:val="0"/>
        <w:snapToGrid w:val="0"/>
        <w:spacing w:line="520" w:lineRule="exact"/>
        <w:ind w:firstLine="420" w:firstLineChars="200"/>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漫画</w:t>
      </w:r>
      <w:r>
        <w:rPr>
          <w:rFonts w:hint="eastAsia" w:ascii="微软雅黑" w:hAnsi="微软雅黑" w:eastAsia="微软雅黑" w:cs="微软雅黑"/>
          <w:sz w:val="21"/>
          <w:szCs w:val="21"/>
        </w:rPr>
        <w:t>街</w:t>
      </w:r>
      <w:r>
        <w:rPr>
          <w:rFonts w:hint="eastAsia" w:ascii="微软雅黑" w:hAnsi="微软雅黑" w:eastAsia="微软雅黑" w:cs="微软雅黑"/>
          <w:sz w:val="21"/>
          <w:szCs w:val="21"/>
          <w:lang w:val="en-US" w:eastAsia="zh-CN"/>
        </w:rPr>
        <w:t>区整条街</w:t>
      </w:r>
      <w:r>
        <w:rPr>
          <w:rFonts w:hint="eastAsia" w:ascii="微软雅黑" w:hAnsi="微软雅黑" w:eastAsia="微软雅黑" w:cs="微软雅黑"/>
          <w:sz w:val="21"/>
          <w:szCs w:val="21"/>
        </w:rPr>
        <w:t>都是彩色的漫画墙，</w:t>
      </w:r>
      <w:r>
        <w:rPr>
          <w:rFonts w:hint="eastAsia" w:ascii="微软雅黑" w:hAnsi="微软雅黑" w:eastAsia="微软雅黑" w:cs="微软雅黑"/>
          <w:sz w:val="21"/>
          <w:szCs w:val="21"/>
          <w:lang w:val="en-US" w:eastAsia="zh-CN"/>
        </w:rPr>
        <w:t>也</w:t>
      </w:r>
      <w:r>
        <w:rPr>
          <w:rFonts w:hint="eastAsia" w:ascii="微软雅黑" w:hAnsi="微软雅黑" w:eastAsia="微软雅黑" w:cs="微软雅黑"/>
          <w:sz w:val="21"/>
          <w:szCs w:val="21"/>
        </w:rPr>
        <w:t>是《鬼怪》等韩剧的取景地。下午四点左右光线柔和，穿亮色衣服拍照，二次元氛围感拉满。</w:t>
      </w:r>
    </w:p>
    <w:p w14:paraId="05BB55FE">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default" w:ascii="微软雅黑" w:hAnsi="微软雅黑" w:eastAsia="微软雅黑" w:cs="微软雅黑"/>
          <w:sz w:val="21"/>
          <w:szCs w:val="21"/>
          <w:lang w:val="en-US" w:eastAsia="zh-CN"/>
        </w:rPr>
      </w:pPr>
    </w:p>
    <w:p w14:paraId="6EDCFAFD">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lang w:val="en-US" w:eastAsia="zh-CN"/>
        </w:rPr>
      </w:pPr>
      <w:r>
        <w:rPr>
          <w:rFonts w:hint="eastAsia" w:ascii="微软雅黑" w:hAnsi="微软雅黑" w:eastAsia="微软雅黑" w:cs="微软雅黑"/>
          <w:b/>
          <w:bCs/>
          <w:sz w:val="24"/>
          <w:szCs w:val="24"/>
          <w:lang w:val="en-US" w:eastAsia="zh-CN"/>
        </w:rPr>
        <w:t>汉江公园</w:t>
      </w:r>
    </w:p>
    <w:p w14:paraId="3B201C70">
      <w:pPr>
        <w:rPr>
          <w:rFonts w:hint="eastAsia"/>
          <w:lang w:val="en-US" w:eastAsia="zh-CN"/>
        </w:rPr>
      </w:pPr>
      <w:r>
        <w:rPr>
          <w:rFonts w:hint="eastAsia"/>
          <w:lang w:val="en-US" w:eastAsia="zh-CN"/>
        </w:rPr>
        <w:drawing>
          <wp:inline distT="0" distB="0" distL="114300" distR="114300">
            <wp:extent cx="1786890" cy="1722120"/>
            <wp:effectExtent l="0" t="0" r="3810" b="11430"/>
            <wp:docPr id="48" name="图片 48" descr="61550737cd09fcd6bacc6d2a7d65a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1550737cd09fcd6bacc6d2a7d65a787"/>
                    <pic:cNvPicPr>
                      <a:picLocks noChangeAspect="1"/>
                    </pic:cNvPicPr>
                  </pic:nvPicPr>
                  <pic:blipFill>
                    <a:blip r:embed="rId22"/>
                    <a:srcRect t="1456" b="1637"/>
                    <a:stretch>
                      <a:fillRect/>
                    </a:stretch>
                  </pic:blipFill>
                  <pic:spPr>
                    <a:xfrm>
                      <a:off x="0" y="0"/>
                      <a:ext cx="1786890" cy="1722120"/>
                    </a:xfrm>
                    <a:prstGeom prst="roundRect">
                      <a:avLst/>
                    </a:prstGeom>
                  </pic:spPr>
                </pic:pic>
              </a:graphicData>
            </a:graphic>
          </wp:inline>
        </w:drawing>
      </w:r>
    </w:p>
    <w:p w14:paraId="7D18EFD3">
      <w:pPr>
        <w:keepNext w:val="0"/>
        <w:keepLines w:val="0"/>
        <w:pageBreakBefore w:val="0"/>
        <w:widowControl/>
        <w:kinsoku w:val="0"/>
        <w:wordWrap/>
        <w:overflowPunct/>
        <w:topLinePunct w:val="0"/>
        <w:autoSpaceDE w:val="0"/>
        <w:autoSpaceDN w:val="0"/>
        <w:bidi w:val="0"/>
        <w:adjustRightInd w:val="0"/>
        <w:snapToGrid w:val="0"/>
        <w:spacing w:line="520" w:lineRule="exact"/>
        <w:ind w:firstLine="420" w:firstLineChars="200"/>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汉江公园位于首尔永登浦区汉江南岸，总面积约210万平方米，是首尔核心的城市公共休闲空间。公园设有完善的骑行道、步行道及多种体育设施，日常承载慢跑、轮滑、自行车骑行等市民活动。每年春季樱花盛开的季节也会举办樱花节，伴有文艺表演与节庆活动。</w:t>
      </w:r>
    </w:p>
    <w:p w14:paraId="0FCDB89B">
      <w:pPr>
        <w:keepNext w:val="0"/>
        <w:keepLines w:val="0"/>
        <w:pageBreakBefore w:val="0"/>
        <w:widowControl/>
        <w:kinsoku w:val="0"/>
        <w:wordWrap/>
        <w:overflowPunct/>
        <w:topLinePunct w:val="0"/>
        <w:autoSpaceDE w:val="0"/>
        <w:autoSpaceDN w:val="0"/>
        <w:bidi w:val="0"/>
        <w:adjustRightInd w:val="0"/>
        <w:snapToGrid w:val="0"/>
        <w:spacing w:line="520" w:lineRule="exact"/>
        <w:ind w:firstLine="420" w:firstLineChars="200"/>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公园因汉江夜景、江畔野餐区及作为韩剧取景地而成为热门旅游目的地。夜幕降临，汉江大桥的灯光亮起</w:t>
      </w:r>
      <w:r>
        <w:rPr>
          <w:rFonts w:hint="eastAsia" w:ascii="微软雅黑" w:hAnsi="微软雅黑" w:eastAsia="微软雅黑" w:cs="微软雅黑"/>
          <w:sz w:val="21"/>
          <w:szCs w:val="21"/>
          <w:lang w:val="en-US" w:eastAsia="zh-CN"/>
        </w:rPr>
        <w:t>后</w:t>
      </w:r>
      <w:r>
        <w:rPr>
          <w:rFonts w:hint="eastAsia" w:ascii="微软雅黑" w:hAnsi="微软雅黑" w:eastAsia="微软雅黑" w:cs="微软雅黑"/>
          <w:sz w:val="21"/>
          <w:szCs w:val="21"/>
        </w:rPr>
        <w:t>，氛围感十足。</w:t>
      </w:r>
    </w:p>
    <w:p w14:paraId="71250860">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微软雅黑" w:hAnsi="微软雅黑" w:eastAsia="微软雅黑" w:cs="微软雅黑"/>
          <w:sz w:val="21"/>
          <w:szCs w:val="21"/>
        </w:rPr>
      </w:pPr>
    </w:p>
    <w:p w14:paraId="05C506FB">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微软雅黑" w:hAnsi="微软雅黑" w:eastAsia="微软雅黑" w:cs="微软雅黑"/>
          <w:sz w:val="21"/>
          <w:szCs w:val="21"/>
        </w:rPr>
      </w:pPr>
    </w:p>
    <w:p w14:paraId="22AB63B4">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lang w:val="en-US" w:eastAsia="zh-CN"/>
        </w:rPr>
      </w:pPr>
      <w:r>
        <w:rPr>
          <w:rFonts w:hint="eastAsia" w:ascii="微软雅黑" w:hAnsi="微软雅黑" w:eastAsia="微软雅黑" w:cs="微软雅黑"/>
          <w:b/>
          <w:bCs/>
          <w:sz w:val="24"/>
          <w:szCs w:val="24"/>
          <w:lang w:val="en-US" w:eastAsia="zh-CN"/>
        </w:rPr>
        <w:t xml:space="preserve">圣水洞 </w:t>
      </w:r>
    </w:p>
    <w:p w14:paraId="1BEA3A63">
      <w:pPr>
        <w:rPr>
          <w:rFonts w:hint="eastAsia"/>
          <w:lang w:val="en-US" w:eastAsia="zh-CN"/>
        </w:rPr>
      </w:pPr>
      <w:r>
        <w:rPr>
          <w:rFonts w:hint="eastAsia"/>
          <w:lang w:val="en-US" w:eastAsia="zh-CN"/>
        </w:rPr>
        <w:drawing>
          <wp:inline distT="0" distB="0" distL="114300" distR="114300">
            <wp:extent cx="1858645" cy="1818640"/>
            <wp:effectExtent l="0" t="0" r="8255" b="10160"/>
            <wp:docPr id="49" name="图片 49" descr="6b2fee67f571fef1592301621e93de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6b2fee67f571fef1592301621e93dee9"/>
                    <pic:cNvPicPr>
                      <a:picLocks noChangeAspect="1"/>
                    </pic:cNvPicPr>
                  </pic:nvPicPr>
                  <pic:blipFill>
                    <a:blip r:embed="rId23"/>
                    <a:stretch>
                      <a:fillRect/>
                    </a:stretch>
                  </pic:blipFill>
                  <pic:spPr>
                    <a:xfrm>
                      <a:off x="0" y="0"/>
                      <a:ext cx="1858645" cy="1818640"/>
                    </a:xfrm>
                    <a:prstGeom prst="roundRect">
                      <a:avLst/>
                    </a:prstGeom>
                  </pic:spPr>
                </pic:pic>
              </a:graphicData>
            </a:graphic>
          </wp:inline>
        </w:drawing>
      </w:r>
    </w:p>
    <w:p w14:paraId="5571FDED">
      <w:pPr>
        <w:keepNext w:val="0"/>
        <w:keepLines w:val="0"/>
        <w:pageBreakBefore w:val="0"/>
        <w:widowControl/>
        <w:kinsoku w:val="0"/>
        <w:wordWrap/>
        <w:overflowPunct/>
        <w:topLinePunct w:val="0"/>
        <w:autoSpaceDE w:val="0"/>
        <w:autoSpaceDN w:val="0"/>
        <w:bidi w:val="0"/>
        <w:adjustRightInd w:val="0"/>
        <w:snapToGrid w:val="0"/>
        <w:spacing w:line="520" w:lineRule="exact"/>
        <w:ind w:firstLine="420" w:firstLineChars="200"/>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圣水洞是</w:t>
      </w:r>
      <w:r>
        <w:rPr>
          <w:rFonts w:hint="eastAsia" w:ascii="微软雅黑" w:hAnsi="微软雅黑" w:eastAsia="微软雅黑" w:cs="微软雅黑"/>
          <w:sz w:val="21"/>
          <w:szCs w:val="21"/>
        </w:rPr>
        <w:t>由旧工厂改造而成的潮流街区，充满了工业风和艺术气息。这里聚集了许多</w:t>
      </w:r>
      <w:r>
        <w:rPr>
          <w:rFonts w:hint="eastAsia" w:ascii="微软雅黑" w:hAnsi="微软雅黑" w:eastAsia="微软雅黑" w:cs="微软雅黑"/>
          <w:sz w:val="21"/>
          <w:szCs w:val="21"/>
          <w:lang w:val="en-US" w:eastAsia="zh-CN"/>
        </w:rPr>
        <w:t>新潮的设计师品牌，从国际大牌到本土设计师品牌，应有尽有；还有</w:t>
      </w:r>
      <w:r>
        <w:rPr>
          <w:rFonts w:hint="eastAsia" w:ascii="微软雅黑" w:hAnsi="微软雅黑" w:eastAsia="微软雅黑" w:cs="微软雅黑"/>
          <w:sz w:val="21"/>
          <w:szCs w:val="21"/>
        </w:rPr>
        <w:t>美味的咖啡馆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美食店</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不仅</w:t>
      </w:r>
      <w:r>
        <w:rPr>
          <w:rFonts w:hint="eastAsia" w:ascii="微软雅黑" w:hAnsi="微软雅黑" w:eastAsia="微软雅黑" w:cs="微软雅黑"/>
          <w:sz w:val="21"/>
          <w:szCs w:val="21"/>
        </w:rPr>
        <w:t>是</w:t>
      </w:r>
      <w:r>
        <w:rPr>
          <w:rFonts w:hint="eastAsia" w:ascii="微软雅黑" w:hAnsi="微软雅黑" w:eastAsia="微软雅黑" w:cs="微软雅黑"/>
          <w:sz w:val="21"/>
          <w:szCs w:val="21"/>
          <w:lang w:val="en-US" w:eastAsia="zh-CN"/>
        </w:rPr>
        <w:t>本地年轻人的扎堆地，也是韩剧和明星MV里常见的取景地</w:t>
      </w:r>
      <w:r>
        <w:rPr>
          <w:rFonts w:hint="eastAsia" w:ascii="微软雅黑" w:hAnsi="微软雅黑" w:eastAsia="微软雅黑" w:cs="微软雅黑"/>
          <w:sz w:val="21"/>
          <w:szCs w:val="21"/>
        </w:rPr>
        <w:t>。</w:t>
      </w:r>
    </w:p>
    <w:p w14:paraId="567FECDD">
      <w:pPr>
        <w:pStyle w:val="2"/>
        <w:keepNext w:val="0"/>
        <w:keepLines w:val="0"/>
        <w:pageBreakBefore w:val="0"/>
        <w:widowControl/>
        <w:kinsoku w:val="0"/>
        <w:wordWrap/>
        <w:overflowPunct/>
        <w:topLinePunct w:val="0"/>
        <w:autoSpaceDE w:val="0"/>
        <w:autoSpaceDN w:val="0"/>
        <w:bidi w:val="0"/>
        <w:adjustRightInd w:val="0"/>
        <w:snapToGrid w:val="0"/>
        <w:spacing w:before="65" w:line="440" w:lineRule="exact"/>
        <w:textAlignment w:val="baseline"/>
        <w:rPr>
          <w:rFonts w:hint="eastAsia" w:ascii="微软雅黑" w:hAnsi="微软雅黑" w:eastAsia="微软雅黑" w:cs="微软雅黑"/>
          <w:color w:val="262626"/>
          <w:spacing w:val="7"/>
          <w:sz w:val="24"/>
          <w:szCs w:val="24"/>
          <w14:textOutline w14:w="3795" w14:cap="sq" w14:cmpd="sng">
            <w14:solidFill>
              <w14:srgbClr w14:val="262626"/>
            </w14:solidFill>
            <w14:prstDash w14:val="solid"/>
            <w14:bevel/>
          </w14:textOutline>
        </w:rPr>
      </w:pPr>
    </w:p>
    <w:p w14:paraId="7891129E">
      <w:pPr>
        <w:pStyle w:val="2"/>
        <w:keepNext w:val="0"/>
        <w:keepLines w:val="0"/>
        <w:pageBreakBefore w:val="0"/>
        <w:widowControl/>
        <w:kinsoku w:val="0"/>
        <w:wordWrap/>
        <w:overflowPunct/>
        <w:topLinePunct w:val="0"/>
        <w:autoSpaceDE w:val="0"/>
        <w:autoSpaceDN w:val="0"/>
        <w:bidi w:val="0"/>
        <w:adjustRightInd w:val="0"/>
        <w:snapToGrid w:val="0"/>
        <w:spacing w:before="65" w:line="440" w:lineRule="exact"/>
        <w:textAlignment w:val="baseline"/>
        <w:rPr>
          <w:rFonts w:hint="eastAsia" w:ascii="微软雅黑" w:hAnsi="微软雅黑" w:eastAsia="微软雅黑" w:cs="微软雅黑"/>
          <w:color w:val="262626"/>
          <w:spacing w:val="7"/>
          <w:sz w:val="24"/>
          <w:szCs w:val="24"/>
          <w14:textOutline w14:w="3795" w14:cap="sq" w14:cmpd="sng">
            <w14:solidFill>
              <w14:srgbClr w14:val="262626"/>
            </w14:solidFill>
            <w14:prstDash w14:val="solid"/>
            <w14:bevel/>
          </w14:textOutline>
        </w:rPr>
      </w:pPr>
    </w:p>
    <w:p w14:paraId="34A09B7B">
      <w:pPr>
        <w:pStyle w:val="2"/>
        <w:keepNext w:val="0"/>
        <w:keepLines w:val="0"/>
        <w:pageBreakBefore w:val="0"/>
        <w:widowControl/>
        <w:kinsoku w:val="0"/>
        <w:wordWrap/>
        <w:overflowPunct/>
        <w:topLinePunct w:val="0"/>
        <w:autoSpaceDE w:val="0"/>
        <w:autoSpaceDN w:val="0"/>
        <w:bidi w:val="0"/>
        <w:adjustRightInd w:val="0"/>
        <w:snapToGrid w:val="0"/>
        <w:spacing w:before="65" w:line="440" w:lineRule="exact"/>
        <w:textAlignment w:val="baseline"/>
        <w:rPr>
          <w:rFonts w:hint="eastAsia" w:ascii="微软雅黑" w:hAnsi="微软雅黑" w:eastAsia="微软雅黑" w:cs="微软雅黑"/>
          <w:color w:val="262626"/>
          <w:spacing w:val="7"/>
          <w:sz w:val="24"/>
          <w:szCs w:val="24"/>
          <w14:textOutline w14:w="3795" w14:cap="sq" w14:cmpd="sng">
            <w14:solidFill>
              <w14:srgbClr w14:val="262626"/>
            </w14:solidFill>
            <w14:prstDash w14:val="solid"/>
            <w14:bevel/>
          </w14:textOutline>
        </w:rPr>
      </w:pPr>
    </w:p>
    <w:p w14:paraId="7507323E">
      <w:pPr>
        <w:pStyle w:val="2"/>
        <w:keepNext w:val="0"/>
        <w:keepLines w:val="0"/>
        <w:pageBreakBefore w:val="0"/>
        <w:widowControl/>
        <w:kinsoku w:val="0"/>
        <w:wordWrap/>
        <w:overflowPunct/>
        <w:topLinePunct w:val="0"/>
        <w:autoSpaceDE w:val="0"/>
        <w:autoSpaceDN w:val="0"/>
        <w:bidi w:val="0"/>
        <w:adjustRightInd w:val="0"/>
        <w:snapToGrid w:val="0"/>
        <w:spacing w:before="65" w:line="440" w:lineRule="exact"/>
        <w:textAlignment w:val="baseline"/>
        <w:rPr>
          <w:rFonts w:hint="eastAsia" w:ascii="微软雅黑" w:hAnsi="微软雅黑" w:eastAsia="微软雅黑" w:cs="微软雅黑"/>
          <w:color w:val="262626"/>
          <w:spacing w:val="7"/>
          <w:sz w:val="24"/>
          <w:szCs w:val="24"/>
          <w14:textOutline w14:w="3795" w14:cap="sq" w14:cmpd="sng">
            <w14:solidFill>
              <w14:srgbClr w14:val="262626"/>
            </w14:solidFill>
            <w14:prstDash w14:val="solid"/>
            <w14:bevel/>
          </w14:textOutline>
        </w:rPr>
      </w:pPr>
    </w:p>
    <w:p w14:paraId="374E6F55">
      <w:pPr>
        <w:pStyle w:val="2"/>
        <w:keepNext w:val="0"/>
        <w:keepLines w:val="0"/>
        <w:pageBreakBefore w:val="0"/>
        <w:widowControl/>
        <w:kinsoku w:val="0"/>
        <w:wordWrap/>
        <w:overflowPunct/>
        <w:topLinePunct w:val="0"/>
        <w:autoSpaceDE w:val="0"/>
        <w:autoSpaceDN w:val="0"/>
        <w:bidi w:val="0"/>
        <w:adjustRightInd w:val="0"/>
        <w:snapToGrid w:val="0"/>
        <w:spacing w:before="0" w:line="520" w:lineRule="exact"/>
        <w:textAlignment w:val="baseline"/>
        <w:rPr>
          <w:rFonts w:hint="eastAsia" w:ascii="微软雅黑" w:hAnsi="微软雅黑" w:eastAsia="微软雅黑" w:cs="微软雅黑"/>
          <w:color w:val="262626"/>
          <w:spacing w:val="7"/>
          <w:sz w:val="24"/>
          <w:szCs w:val="24"/>
          <w14:textOutline w14:w="3795" w14:cap="sq" w14:cmpd="sng">
            <w14:solidFill>
              <w14:srgbClr w14:val="262626"/>
            </w14:solidFill>
            <w14:prstDash w14:val="solid"/>
            <w14:bevel/>
          </w14:textOutline>
        </w:rPr>
      </w:pPr>
      <w:r>
        <w:rPr>
          <w:rFonts w:hint="eastAsia" w:ascii="微软雅黑" w:hAnsi="微软雅黑" w:eastAsia="微软雅黑" w:cs="微软雅黑"/>
          <w:color w:val="262626"/>
          <w:spacing w:val="7"/>
          <w:sz w:val="24"/>
          <w:szCs w:val="24"/>
          <w14:textOutline w14:w="3795" w14:cap="sq" w14:cmpd="sng">
            <w14:solidFill>
              <w14:srgbClr w14:val="262626"/>
            </w14:solidFill>
            <w14:prstDash w14:val="solid"/>
            <w14:bevel/>
          </w14:textOutline>
        </w:rPr>
        <w:t>项目须知</w:t>
      </w:r>
    </w:p>
    <w:p w14:paraId="50537CA2">
      <w:pPr>
        <w:keepNext w:val="0"/>
        <w:keepLines w:val="0"/>
        <w:pageBreakBefore w:val="0"/>
        <w:widowControl/>
        <w:wordWrap/>
        <w:overflowPunct/>
        <w:topLinePunct w:val="0"/>
        <w:bidi w:val="0"/>
        <w:spacing w:line="520" w:lineRule="exact"/>
        <w:rPr>
          <w:rFonts w:hint="eastAsia" w:ascii="微软雅黑" w:hAnsi="微软雅黑" w:eastAsia="微软雅黑" w:cs="微软雅黑"/>
          <w:b/>
          <w:bCs/>
          <w:color w:val="000000" w:themeColor="text1"/>
          <w:sz w:val="21"/>
          <w:szCs w:val="21"/>
          <w:lang w:bidi="ar"/>
          <w14:textFill>
            <w14:solidFill>
              <w14:schemeClr w14:val="tx1"/>
            </w14:solidFill>
          </w14:textFill>
        </w:rPr>
      </w:pPr>
      <w:r>
        <w:rPr>
          <w:rFonts w:hint="eastAsia" w:ascii="微软雅黑" w:hAnsi="微软雅黑" w:eastAsia="微软雅黑" w:cs="微软雅黑"/>
          <w:b/>
          <w:bCs/>
          <w:color w:val="000000" w:themeColor="text1"/>
          <w:sz w:val="21"/>
          <w:szCs w:val="21"/>
          <w:lang w:bidi="ar"/>
          <w14:textFill>
            <w14:solidFill>
              <w14:schemeClr w14:val="tx1"/>
            </w14:solidFill>
          </w14:textFill>
        </w:rPr>
        <w:t>住宿及餐饮：</w:t>
      </w:r>
    </w:p>
    <w:p w14:paraId="6626DA72">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color w:val="000000" w:themeColor="text1"/>
          <w:sz w:val="21"/>
          <w:szCs w:val="21"/>
          <w:lang w:bidi="ar"/>
          <w14:textFill>
            <w14:solidFill>
              <w14:schemeClr w14:val="tx1"/>
            </w14:solidFill>
          </w14:textFill>
        </w:rPr>
      </w:pPr>
      <w:r>
        <w:rPr>
          <w:rFonts w:hint="eastAsia" w:ascii="微软雅黑" w:hAnsi="微软雅黑" w:eastAsia="微软雅黑" w:cs="微软雅黑"/>
          <w:color w:val="000000" w:themeColor="text1"/>
          <w:sz w:val="21"/>
          <w:szCs w:val="21"/>
          <w:lang w:bidi="ar"/>
          <w14:textFill>
            <w14:solidFill>
              <w14:schemeClr w14:val="tx1"/>
            </w14:solidFill>
          </w14:textFill>
        </w:rPr>
        <w:t>【住宿】学生将入住</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首尔三星级</w:t>
      </w:r>
      <w:r>
        <w:rPr>
          <w:rFonts w:hint="eastAsia" w:ascii="微软雅黑" w:hAnsi="微软雅黑" w:eastAsia="微软雅黑" w:cs="微软雅黑"/>
          <w:color w:val="000000" w:themeColor="text1"/>
          <w:sz w:val="21"/>
          <w:szCs w:val="21"/>
          <w:lang w:bidi="ar"/>
          <w14:textFill>
            <w14:solidFill>
              <w14:schemeClr w14:val="tx1"/>
            </w14:solidFill>
          </w14:textFill>
        </w:rPr>
        <w:t>酒店，</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双人标间，</w:t>
      </w:r>
      <w:r>
        <w:rPr>
          <w:rFonts w:hint="eastAsia" w:ascii="微软雅黑" w:hAnsi="微软雅黑" w:eastAsia="微软雅黑" w:cs="微软雅黑"/>
          <w:color w:val="000000" w:themeColor="text1"/>
          <w:sz w:val="21"/>
          <w:szCs w:val="21"/>
          <w:highlight w:val="none"/>
          <w:lang w:bidi="ar"/>
          <w14:textFill>
            <w14:solidFill>
              <w14:schemeClr w14:val="tx1"/>
            </w14:solidFill>
          </w14:textFill>
        </w:rPr>
        <w:t>酒店提供牙刷、牙膏、手巾、拖鞋、洗衣机</w:t>
      </w:r>
      <w:r>
        <w:rPr>
          <w:rFonts w:hint="eastAsia" w:ascii="微软雅黑" w:hAnsi="微软雅黑" w:eastAsia="微软雅黑" w:cs="微软雅黑"/>
          <w:color w:val="00B0F0"/>
          <w:sz w:val="21"/>
          <w:szCs w:val="21"/>
          <w:highlight w:val="none"/>
          <w:lang w:eastAsia="zh-CN" w:bidi="ar"/>
        </w:rPr>
        <w:t>（</w:t>
      </w:r>
      <w:r>
        <w:rPr>
          <w:rFonts w:hint="eastAsia" w:ascii="微软雅黑" w:hAnsi="微软雅黑" w:eastAsia="微软雅黑" w:cs="微软雅黑"/>
          <w:color w:val="00B0F0"/>
          <w:sz w:val="21"/>
          <w:szCs w:val="21"/>
          <w:highlight w:val="none"/>
          <w:lang w:val="en-US" w:eastAsia="zh-CN" w:bidi="ar"/>
        </w:rPr>
        <w:t>有偿使用</w:t>
      </w:r>
      <w:r>
        <w:rPr>
          <w:rFonts w:hint="eastAsia" w:ascii="微软雅黑" w:hAnsi="微软雅黑" w:eastAsia="微软雅黑" w:cs="微软雅黑"/>
          <w:color w:val="00B0F0"/>
          <w:sz w:val="21"/>
          <w:szCs w:val="21"/>
          <w:highlight w:val="none"/>
          <w:lang w:eastAsia="zh-CN" w:bidi="ar"/>
        </w:rPr>
        <w:t>）</w:t>
      </w:r>
      <w:r>
        <w:rPr>
          <w:rFonts w:hint="eastAsia" w:ascii="微软雅黑" w:hAnsi="微软雅黑" w:eastAsia="微软雅黑" w:cs="微软雅黑"/>
          <w:color w:val="000000" w:themeColor="text1"/>
          <w:sz w:val="21"/>
          <w:szCs w:val="21"/>
          <w:highlight w:val="none"/>
          <w:lang w:bidi="ar"/>
          <w14:textFill>
            <w14:solidFill>
              <w14:schemeClr w14:val="tx1"/>
            </w14:solidFill>
          </w14:textFill>
        </w:rPr>
        <w:t>等生活必备用品；</w:t>
      </w:r>
    </w:p>
    <w:p w14:paraId="7692BA86">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color w:val="000000" w:themeColor="text1"/>
          <w:sz w:val="21"/>
          <w:szCs w:val="21"/>
          <w:lang w:bidi="ar"/>
          <w14:textFill>
            <w14:solidFill>
              <w14:schemeClr w14:val="tx1"/>
            </w14:solidFill>
          </w14:textFill>
        </w:rPr>
      </w:pPr>
      <w:r>
        <w:rPr>
          <w:rFonts w:hint="eastAsia" w:ascii="微软雅黑" w:hAnsi="微软雅黑" w:eastAsia="微软雅黑" w:cs="微软雅黑"/>
          <w:color w:val="000000" w:themeColor="text1"/>
          <w:sz w:val="21"/>
          <w:szCs w:val="21"/>
          <w:lang w:bidi="ar"/>
          <w14:textFill>
            <w14:solidFill>
              <w14:schemeClr w14:val="tx1"/>
            </w14:solidFill>
          </w14:textFill>
        </w:rPr>
        <w:t>【餐饮</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及网络</w:t>
      </w:r>
      <w:r>
        <w:rPr>
          <w:rFonts w:hint="eastAsia" w:ascii="微软雅黑" w:hAnsi="微软雅黑" w:eastAsia="微软雅黑" w:cs="微软雅黑"/>
          <w:color w:val="000000" w:themeColor="text1"/>
          <w:sz w:val="21"/>
          <w:szCs w:val="21"/>
          <w:lang w:bidi="ar"/>
          <w14:textFill>
            <w14:solidFill>
              <w14:schemeClr w14:val="tx1"/>
            </w14:solidFill>
          </w14:textFill>
        </w:rPr>
        <w:t>】酒店提供早餐</w:t>
      </w:r>
      <w:r>
        <w:rPr>
          <w:rFonts w:hint="eastAsia" w:ascii="微软雅黑" w:hAnsi="微软雅黑" w:eastAsia="微软雅黑" w:cs="微软雅黑"/>
          <w:color w:val="000000" w:themeColor="text1"/>
          <w:sz w:val="21"/>
          <w:szCs w:val="21"/>
          <w:lang w:eastAsia="zh-CN" w:bidi="ar"/>
          <w14:textFill>
            <w14:solidFill>
              <w14:schemeClr w14:val="tx1"/>
            </w14:solidFill>
          </w14:textFill>
        </w:rPr>
        <w:t>；</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免费WiFi</w:t>
      </w:r>
      <w:r>
        <w:rPr>
          <w:rFonts w:hint="eastAsia" w:ascii="微软雅黑" w:hAnsi="微软雅黑" w:eastAsia="微软雅黑" w:cs="微软雅黑"/>
          <w:color w:val="000000" w:themeColor="text1"/>
          <w:sz w:val="21"/>
          <w:szCs w:val="21"/>
          <w:lang w:bidi="ar"/>
          <w14:textFill>
            <w14:solidFill>
              <w14:schemeClr w14:val="tx1"/>
            </w14:solidFill>
          </w14:textFill>
        </w:rPr>
        <w:t>。</w:t>
      </w:r>
    </w:p>
    <w:p w14:paraId="0B1B6D9D">
      <w:pPr>
        <w:jc w:val="cente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2125345" cy="1416685"/>
            <wp:effectExtent l="0" t="0" r="8255" b="12065"/>
            <wp:docPr id="1897089312" name="图片 1" descr="C:/Users/Administrator/Desktop/优良2.jpg优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89312" name="图片 1" descr="C:/Users/Administrator/Desktop/优良2.jpg优良2"/>
                    <pic:cNvPicPr>
                      <a:picLocks noChangeAspect="1"/>
                    </pic:cNvPicPr>
                  </pic:nvPicPr>
                  <pic:blipFill>
                    <a:blip r:embed="rId24"/>
                    <a:srcRect t="695" b="695"/>
                    <a:stretch>
                      <a:fillRect/>
                    </a:stretch>
                  </pic:blipFill>
                  <pic:spPr>
                    <a:xfrm>
                      <a:off x="0" y="0"/>
                      <a:ext cx="2125345" cy="1416685"/>
                    </a:xfrm>
                    <a:prstGeom prst="rect">
                      <a:avLst/>
                    </a:prstGeom>
                  </pic:spPr>
                </pic:pic>
              </a:graphicData>
            </a:graphic>
          </wp:inline>
        </w:drawing>
      </w:r>
      <w:r>
        <w:rPr>
          <w:rFonts w:hint="eastAsia" w:ascii="微软雅黑" w:hAnsi="微软雅黑" w:eastAsia="微软雅黑" w:cs="微软雅黑"/>
        </w:rPr>
        <w:t xml:space="preserve"> </w:t>
      </w:r>
      <w:r>
        <w:rPr>
          <w:rFonts w:hint="eastAsia" w:ascii="微软雅黑" w:hAnsi="微软雅黑" w:eastAsia="微软雅黑" w:cs="微软雅黑"/>
        </w:rPr>
        <w:drawing>
          <wp:inline distT="0" distB="0" distL="0" distR="0">
            <wp:extent cx="2169795" cy="1391920"/>
            <wp:effectExtent l="0" t="0" r="1905" b="17780"/>
            <wp:docPr id="1231755939" name="图片 1" descr="C:/Users/Administrator/Desktop/优良3.jpg优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55939" name="图片 1" descr="C:/Users/Administrator/Desktop/优良3.jpg优良3"/>
                    <pic:cNvPicPr>
                      <a:picLocks noChangeAspect="1"/>
                    </pic:cNvPicPr>
                  </pic:nvPicPr>
                  <pic:blipFill>
                    <a:blip r:embed="rId25"/>
                    <a:srcRect t="7915" b="7915"/>
                    <a:stretch>
                      <a:fillRect/>
                    </a:stretch>
                  </pic:blipFill>
                  <pic:spPr>
                    <a:xfrm>
                      <a:off x="0" y="0"/>
                      <a:ext cx="2169795" cy="1391920"/>
                    </a:xfrm>
                    <a:prstGeom prst="rect">
                      <a:avLst/>
                    </a:prstGeom>
                  </pic:spPr>
                </pic:pic>
              </a:graphicData>
            </a:graphic>
          </wp:inline>
        </w:drawing>
      </w:r>
    </w:p>
    <w:p w14:paraId="2B51A9ED">
      <w:pPr>
        <w:rPr>
          <w:rFonts w:hint="eastAsia"/>
        </w:rPr>
      </w:pPr>
    </w:p>
    <w:p w14:paraId="35237763">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pPr>
    </w:p>
    <w:p w14:paraId="434D6BDC">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color w:val="000000" w:themeColor="text1"/>
          <w:sz w:val="21"/>
          <w:szCs w:val="21"/>
          <w:lang w:bidi="ar"/>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韩国首尔</w:t>
      </w:r>
      <w:r>
        <w:rPr>
          <w:rFonts w:hint="eastAsia" w:ascii="微软雅黑" w:hAnsi="微软雅黑" w:eastAsia="微软雅黑" w:cs="微软雅黑"/>
          <w:b/>
          <w:bCs/>
          <w:color w:val="000000" w:themeColor="text1"/>
          <w:sz w:val="21"/>
          <w:szCs w:val="21"/>
          <w:lang w:bidi="ar"/>
          <w14:textFill>
            <w14:solidFill>
              <w14:schemeClr w14:val="tx1"/>
            </w14:solidFill>
          </w14:textFill>
        </w:rPr>
        <w:t>交通：</w:t>
      </w:r>
    </w:p>
    <w:p w14:paraId="0B834B3E">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ascii="微软雅黑" w:hAnsi="微软雅黑" w:eastAsia="微软雅黑" w:cs="微软雅黑"/>
          <w:color w:val="000000" w:themeColor="text1"/>
          <w:sz w:val="21"/>
          <w:szCs w:val="21"/>
          <w:lang w:eastAsia="zh-CN" w:bidi="ar"/>
          <w14:textFill>
            <w14:solidFill>
              <w14:schemeClr w14:val="tx1"/>
            </w14:solidFill>
          </w14:textFill>
        </w:rPr>
      </w:pPr>
      <w:r>
        <w:rPr>
          <w:rFonts w:hint="eastAsia" w:ascii="微软雅黑" w:hAnsi="微软雅黑" w:eastAsia="微软雅黑" w:cs="微软雅黑"/>
          <w:color w:val="000000" w:themeColor="text1"/>
          <w:sz w:val="21"/>
          <w:szCs w:val="21"/>
          <w:lang w:bidi="ar"/>
          <w14:textFill>
            <w14:solidFill>
              <w14:schemeClr w14:val="tx1"/>
            </w14:solidFill>
          </w14:textFill>
        </w:rPr>
        <w:t>项目包含</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在首尔学习</w:t>
      </w:r>
      <w:r>
        <w:rPr>
          <w:rFonts w:hint="eastAsia" w:ascii="微软雅黑" w:hAnsi="微软雅黑" w:eastAsia="微软雅黑" w:cs="微软雅黑"/>
          <w:color w:val="000000" w:themeColor="text1"/>
          <w:sz w:val="21"/>
          <w:szCs w:val="21"/>
          <w:lang w:bidi="ar"/>
          <w14:textFill>
            <w14:solidFill>
              <w14:schemeClr w14:val="tx1"/>
            </w14:solidFill>
          </w14:textFill>
        </w:rPr>
        <w:t>参访</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时统一行程的</w:t>
      </w:r>
      <w:r>
        <w:rPr>
          <w:rFonts w:hint="eastAsia" w:ascii="微软雅黑" w:hAnsi="微软雅黑" w:eastAsia="微软雅黑" w:cs="微软雅黑"/>
          <w:color w:val="000000" w:themeColor="text1"/>
          <w:sz w:val="21"/>
          <w:szCs w:val="21"/>
          <w:lang w:bidi="ar"/>
          <w14:textFill>
            <w14:solidFill>
              <w14:schemeClr w14:val="tx1"/>
            </w14:solidFill>
          </w14:textFill>
        </w:rPr>
        <w:t>交通费用</w:t>
      </w:r>
      <w:r>
        <w:rPr>
          <w:rFonts w:hint="eastAsia" w:ascii="微软雅黑" w:hAnsi="微软雅黑" w:eastAsia="微软雅黑" w:cs="微软雅黑"/>
          <w:color w:val="000000" w:themeColor="text1"/>
          <w:sz w:val="21"/>
          <w:szCs w:val="21"/>
          <w:lang w:eastAsia="zh-CN" w:bidi="ar"/>
          <w14:textFill>
            <w14:solidFill>
              <w14:schemeClr w14:val="tx1"/>
            </w14:solidFill>
          </w14:textFill>
        </w:rPr>
        <w:t>。</w:t>
      </w:r>
    </w:p>
    <w:p w14:paraId="2E8CDAE1">
      <w:pPr>
        <w:keepNext w:val="0"/>
        <w:keepLines w:val="0"/>
        <w:pageBreakBefore w:val="0"/>
        <w:widowControl/>
        <w:kinsoku/>
        <w:wordWrap/>
        <w:overflowPunct/>
        <w:topLinePunct w:val="0"/>
        <w:autoSpaceDE/>
        <w:autoSpaceDN/>
        <w:bidi w:val="0"/>
        <w:adjustRightInd/>
        <w:snapToGrid/>
        <w:spacing w:line="520" w:lineRule="exact"/>
        <w:ind w:firstLine="420" w:firstLineChars="200"/>
        <w:textAlignment w:val="auto"/>
        <w:rPr>
          <w:rFonts w:hint="eastAsia" w:eastAsia="宋体"/>
          <w:lang w:val="en-US" w:eastAsia="zh-CN"/>
        </w:rPr>
      </w:pPr>
      <w:r>
        <w:rPr>
          <w:rFonts w:hint="eastAsia" w:ascii="微软雅黑" w:hAnsi="微软雅黑" w:eastAsia="微软雅黑" w:cs="微软雅黑"/>
          <w:color w:val="000000" w:themeColor="text1"/>
          <w:sz w:val="21"/>
          <w:szCs w:val="21"/>
          <w:lang w:bidi="ar"/>
          <w14:textFill>
            <w14:solidFill>
              <w14:schemeClr w14:val="tx1"/>
            </w14:solidFill>
          </w14:textFill>
        </w:rPr>
        <w:t>如</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果</w:t>
      </w:r>
      <w:r>
        <w:rPr>
          <w:rFonts w:hint="eastAsia" w:ascii="微软雅黑" w:hAnsi="微软雅黑" w:eastAsia="微软雅黑" w:cs="微软雅黑"/>
          <w:color w:val="000000" w:themeColor="text1"/>
          <w:sz w:val="21"/>
          <w:szCs w:val="21"/>
          <w:lang w:bidi="ar"/>
          <w14:textFill>
            <w14:solidFill>
              <w14:schemeClr w14:val="tx1"/>
            </w14:solidFill>
          </w14:textFill>
        </w:rPr>
        <w:t>同学们课外时间想要领略</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首尔的人文风采</w:t>
      </w:r>
      <w:r>
        <w:rPr>
          <w:rFonts w:hint="eastAsia" w:ascii="微软雅黑" w:hAnsi="微软雅黑" w:eastAsia="微软雅黑" w:cs="微软雅黑"/>
          <w:color w:val="000000" w:themeColor="text1"/>
          <w:sz w:val="21"/>
          <w:szCs w:val="21"/>
          <w:lang w:eastAsia="zh-CN" w:bidi="ar"/>
          <w14:textFill>
            <w14:solidFill>
              <w14:schemeClr w14:val="tx1"/>
            </w14:solidFill>
          </w14:textFill>
        </w:rPr>
        <w:t>，</w:t>
      </w:r>
      <w:r>
        <w:rPr>
          <w:rFonts w:hint="eastAsia" w:ascii="微软雅黑" w:hAnsi="微软雅黑" w:eastAsia="微软雅黑" w:cs="微软雅黑"/>
          <w:color w:val="000000" w:themeColor="text1"/>
          <w:sz w:val="21"/>
          <w:szCs w:val="21"/>
          <w:lang w:bidi="ar"/>
          <w14:textFill>
            <w14:solidFill>
              <w14:schemeClr w14:val="tx1"/>
            </w14:solidFill>
          </w14:textFill>
        </w:rPr>
        <w:t>交通费用由学生自理</w:t>
      </w:r>
      <w:r>
        <w:rPr>
          <w:rFonts w:hint="eastAsia" w:ascii="微软雅黑" w:hAnsi="微软雅黑" w:eastAsia="微软雅黑" w:cs="微软雅黑"/>
          <w:color w:val="000000" w:themeColor="text1"/>
          <w:sz w:val="21"/>
          <w:szCs w:val="21"/>
          <w:lang w:eastAsia="zh-CN" w:bidi="ar"/>
          <w14:textFill>
            <w14:solidFill>
              <w14:schemeClr w14:val="tx1"/>
            </w14:solidFill>
          </w14:textFill>
        </w:rPr>
        <w:t>。</w:t>
      </w:r>
      <w:r>
        <w:rPr>
          <w:rFonts w:hint="eastAsia" w:ascii="微软雅黑" w:hAnsi="微软雅黑" w:eastAsia="微软雅黑" w:cs="微软雅黑"/>
          <w:color w:val="000000" w:themeColor="text1"/>
          <w:sz w:val="21"/>
          <w:szCs w:val="21"/>
          <w:lang w:val="en-US" w:eastAsia="zh-CN" w:bidi="ar"/>
          <w14:textFill>
            <w14:solidFill>
              <w14:schemeClr w14:val="tx1"/>
            </w14:solidFill>
          </w14:textFill>
        </w:rPr>
        <w:t>同学们可搭乘公交、地铁等交通工具出行。</w:t>
      </w:r>
    </w:p>
    <w:p w14:paraId="7E1A8301">
      <w:pPr>
        <w:jc w:val="center"/>
        <w:rPr>
          <w:rFonts w:hint="eastAsia" w:eastAsia="宋体"/>
          <w:lang w:val="en-US" w:eastAsia="zh-CN"/>
        </w:rPr>
      </w:pPr>
      <w:r>
        <w:rPr>
          <w:rFonts w:hint="eastAsia" w:eastAsia="宋体"/>
          <w:lang w:val="en-US" w:eastAsia="zh-CN"/>
        </w:rPr>
        <w:drawing>
          <wp:inline distT="0" distB="0" distL="114300" distR="114300">
            <wp:extent cx="3361055" cy="2809240"/>
            <wp:effectExtent l="0" t="0" r="10795" b="10160"/>
            <wp:docPr id="38" name="图片 38" descr="0a93b40026dbc6aa5094b6b2757ec0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a93b40026dbc6aa5094b6b2757ec0fe"/>
                    <pic:cNvPicPr>
                      <a:picLocks noChangeAspect="1"/>
                    </pic:cNvPicPr>
                  </pic:nvPicPr>
                  <pic:blipFill>
                    <a:blip r:embed="rId26"/>
                    <a:srcRect t="14251" r="2773" b="8337"/>
                    <a:stretch>
                      <a:fillRect/>
                    </a:stretch>
                  </pic:blipFill>
                  <pic:spPr>
                    <a:xfrm>
                      <a:off x="0" y="0"/>
                      <a:ext cx="3361055" cy="2809240"/>
                    </a:xfrm>
                    <a:prstGeom prst="roundRect">
                      <a:avLst/>
                    </a:prstGeom>
                  </pic:spPr>
                </pic:pic>
              </a:graphicData>
            </a:graphic>
          </wp:inline>
        </w:drawing>
      </w:r>
    </w:p>
    <w:p w14:paraId="61EEC85A">
      <w:pPr>
        <w:rPr>
          <w:rFonts w:hint="eastAsia"/>
        </w:rPr>
      </w:pPr>
    </w:p>
    <w:p w14:paraId="5BB8AEF6">
      <w:pPr>
        <w:pStyle w:val="2"/>
        <w:keepNext w:val="0"/>
        <w:keepLines w:val="0"/>
        <w:pageBreakBefore w:val="0"/>
        <w:widowControl/>
        <w:kinsoku w:val="0"/>
        <w:wordWrap/>
        <w:overflowPunct/>
        <w:topLinePunct w:val="0"/>
        <w:autoSpaceDE w:val="0"/>
        <w:autoSpaceDN w:val="0"/>
        <w:bidi w:val="0"/>
        <w:adjustRightInd w:val="0"/>
        <w:snapToGrid w:val="0"/>
        <w:spacing w:before="0" w:line="520" w:lineRule="exact"/>
        <w:textAlignment w:val="baseline"/>
        <w:rPr>
          <w:rFonts w:hint="eastAsia" w:ascii="微软雅黑" w:hAnsi="微软雅黑" w:eastAsia="微软雅黑" w:cs="微软雅黑"/>
          <w:color w:val="262626"/>
          <w:spacing w:val="9"/>
          <w:sz w:val="24"/>
          <w:szCs w:val="24"/>
          <w:lang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通信及网络：</w:t>
      </w:r>
      <w:r>
        <w:rPr>
          <w:rFonts w:hint="eastAsia" w:ascii="微软雅黑" w:hAnsi="微软雅黑" w:eastAsia="微软雅黑" w:cs="微软雅黑"/>
          <w:color w:val="262626"/>
          <w:spacing w:val="10"/>
          <w:sz w:val="21"/>
          <w:szCs w:val="21"/>
        </w:rPr>
        <w:t>学生可自费办理</w:t>
      </w:r>
      <w:r>
        <w:rPr>
          <w:rFonts w:hint="eastAsia" w:ascii="微软雅黑" w:hAnsi="微软雅黑" w:eastAsia="微软雅黑" w:cs="微软雅黑"/>
          <w:color w:val="262626"/>
          <w:spacing w:val="10"/>
          <w:sz w:val="21"/>
          <w:szCs w:val="21"/>
          <w:lang w:val="en-US" w:eastAsia="zh-CN"/>
        </w:rPr>
        <w:t>首尔当地</w:t>
      </w:r>
      <w:r>
        <w:rPr>
          <w:rFonts w:hint="eastAsia" w:ascii="微软雅黑" w:hAnsi="微软雅黑" w:eastAsia="微软雅黑" w:cs="微软雅黑"/>
          <w:color w:val="262626"/>
          <w:spacing w:val="10"/>
          <w:sz w:val="21"/>
          <w:szCs w:val="21"/>
        </w:rPr>
        <w:t>电话卡或开通国</w:t>
      </w:r>
      <w:r>
        <w:rPr>
          <w:rFonts w:hint="eastAsia" w:ascii="微软雅黑" w:hAnsi="微软雅黑" w:eastAsia="微软雅黑" w:cs="微软雅黑"/>
          <w:color w:val="262626"/>
          <w:spacing w:val="9"/>
          <w:sz w:val="21"/>
          <w:szCs w:val="21"/>
        </w:rPr>
        <w:t>际漫游</w:t>
      </w:r>
      <w:r>
        <w:rPr>
          <w:rFonts w:hint="eastAsia" w:ascii="微软雅黑" w:hAnsi="微软雅黑" w:eastAsia="微软雅黑" w:cs="微软雅黑"/>
          <w:color w:val="262626"/>
          <w:spacing w:val="9"/>
          <w:sz w:val="21"/>
          <w:szCs w:val="21"/>
          <w:lang w:eastAsia="zh-CN"/>
        </w:rPr>
        <w:t>。</w:t>
      </w:r>
    </w:p>
    <w:p w14:paraId="245967F2">
      <w:pPr>
        <w:rPr>
          <w:rFonts w:hint="eastAsia"/>
          <w:lang w:val="en-US" w:eastAsia="en-US"/>
        </w:rPr>
      </w:pPr>
    </w:p>
    <w:p w14:paraId="45D81D29">
      <w:pPr>
        <w:pStyle w:val="2"/>
        <w:keepNext w:val="0"/>
        <w:keepLines w:val="0"/>
        <w:pageBreakBefore w:val="0"/>
        <w:widowControl/>
        <w:kinsoku w:val="0"/>
        <w:wordWrap/>
        <w:overflowPunct/>
        <w:topLinePunct w:val="0"/>
        <w:autoSpaceDE w:val="0"/>
        <w:autoSpaceDN w:val="0"/>
        <w:bidi w:val="0"/>
        <w:adjustRightInd w:val="0"/>
        <w:snapToGrid w:val="0"/>
        <w:spacing w:before="0" w:line="520" w:lineRule="exact"/>
        <w:textAlignment w:val="baseline"/>
        <w:rPr>
          <w:rFonts w:hint="eastAsia" w:ascii="微软雅黑" w:hAnsi="微软雅黑" w:eastAsia="微软雅黑" w:cs="微软雅黑"/>
          <w:color w:val="262626"/>
          <w:spacing w:val="7"/>
          <w:sz w:val="21"/>
          <w:szCs w:val="21"/>
          <w:lang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海外保险：</w:t>
      </w:r>
      <w:r>
        <w:rPr>
          <w:rFonts w:hint="eastAsia" w:ascii="微软雅黑" w:hAnsi="微软雅黑" w:eastAsia="微软雅黑" w:cs="微软雅黑"/>
          <w:color w:val="262626"/>
          <w:spacing w:val="-55"/>
          <w:sz w:val="24"/>
          <w:szCs w:val="24"/>
        </w:rPr>
        <w:t xml:space="preserve"> </w:t>
      </w:r>
      <w:r>
        <w:rPr>
          <w:rFonts w:hint="eastAsia" w:ascii="微软雅黑" w:hAnsi="微软雅黑" w:eastAsia="微软雅黑" w:cs="微软雅黑"/>
          <w:color w:val="262626"/>
          <w:spacing w:val="8"/>
          <w:sz w:val="21"/>
          <w:szCs w:val="21"/>
        </w:rPr>
        <w:t>由主办方统一为学生购买，包含医疗保险和意外</w:t>
      </w:r>
      <w:r>
        <w:rPr>
          <w:rFonts w:hint="eastAsia" w:ascii="微软雅黑" w:hAnsi="微软雅黑" w:eastAsia="微软雅黑" w:cs="微软雅黑"/>
          <w:color w:val="262626"/>
          <w:spacing w:val="7"/>
          <w:sz w:val="21"/>
          <w:szCs w:val="21"/>
        </w:rPr>
        <w:t>保险</w:t>
      </w:r>
      <w:r>
        <w:rPr>
          <w:rFonts w:hint="eastAsia" w:ascii="微软雅黑" w:hAnsi="微软雅黑" w:eastAsia="微软雅黑" w:cs="微软雅黑"/>
          <w:color w:val="262626"/>
          <w:spacing w:val="7"/>
          <w:sz w:val="21"/>
          <w:szCs w:val="21"/>
          <w:lang w:eastAsia="zh-CN"/>
        </w:rPr>
        <w:t>（</w:t>
      </w:r>
      <w:r>
        <w:rPr>
          <w:rFonts w:hint="eastAsia" w:ascii="微软雅黑" w:hAnsi="微软雅黑" w:eastAsia="微软雅黑" w:cs="微软雅黑"/>
          <w:color w:val="262626"/>
          <w:spacing w:val="7"/>
          <w:sz w:val="21"/>
          <w:szCs w:val="21"/>
          <w:lang w:val="en-US" w:eastAsia="zh-CN"/>
        </w:rPr>
        <w:t>无需学生单独付费购买</w:t>
      </w:r>
      <w:r>
        <w:rPr>
          <w:rFonts w:hint="eastAsia" w:ascii="微软雅黑" w:hAnsi="微软雅黑" w:eastAsia="微软雅黑" w:cs="微软雅黑"/>
          <w:color w:val="262626"/>
          <w:spacing w:val="7"/>
          <w:sz w:val="21"/>
          <w:szCs w:val="21"/>
          <w:lang w:eastAsia="zh-CN"/>
        </w:rPr>
        <w:t>）。</w:t>
      </w:r>
    </w:p>
    <w:p w14:paraId="3986835B">
      <w:pPr>
        <w:rPr>
          <w:rFonts w:hint="eastAsia"/>
          <w:lang w:val="en-US" w:eastAsia="en-US"/>
        </w:rPr>
      </w:pPr>
    </w:p>
    <w:p w14:paraId="3C980E14">
      <w:pPr>
        <w:pStyle w:val="2"/>
        <w:keepNext w:val="0"/>
        <w:keepLines w:val="0"/>
        <w:pageBreakBefore w:val="0"/>
        <w:widowControl/>
        <w:kinsoku w:val="0"/>
        <w:wordWrap/>
        <w:overflowPunct/>
        <w:topLinePunct w:val="0"/>
        <w:autoSpaceDE w:val="0"/>
        <w:autoSpaceDN w:val="0"/>
        <w:bidi w:val="0"/>
        <w:adjustRightInd w:val="0"/>
        <w:snapToGrid w:val="0"/>
        <w:spacing w:before="0" w:line="520" w:lineRule="exact"/>
        <w:textAlignment w:val="baseline"/>
        <w:rPr>
          <w:rFonts w:hint="default" w:ascii="微软雅黑" w:hAnsi="微软雅黑" w:eastAsia="微软雅黑" w:cs="微软雅黑"/>
          <w:color w:val="262626"/>
          <w:spacing w:val="8"/>
          <w:sz w:val="24"/>
          <w:szCs w:val="24"/>
          <w:lang w:val="en-US"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签证：</w:t>
      </w:r>
      <w:r>
        <w:rPr>
          <w:rFonts w:hint="eastAsia" w:ascii="微软雅黑" w:hAnsi="微软雅黑" w:eastAsia="微软雅黑" w:cs="微软雅黑"/>
          <w:color w:val="262626"/>
          <w:spacing w:val="8"/>
          <w:sz w:val="21"/>
          <w:szCs w:val="21"/>
          <w:lang w:val="en-US" w:eastAsia="zh-CN"/>
        </w:rPr>
        <w:t>学生自行办理。可自行去领馆办理或者联系旅行社代办。</w:t>
      </w:r>
    </w:p>
    <w:p w14:paraId="75F5D83F">
      <w:pPr>
        <w:rPr>
          <w:rFonts w:hint="eastAsia"/>
          <w:lang w:val="en-US" w:eastAsia="en-US"/>
        </w:rPr>
      </w:pPr>
    </w:p>
    <w:p w14:paraId="7C8638CC">
      <w:pPr>
        <w:pStyle w:val="2"/>
        <w:keepNext w:val="0"/>
        <w:keepLines w:val="0"/>
        <w:pageBreakBefore w:val="0"/>
        <w:widowControl/>
        <w:kinsoku w:val="0"/>
        <w:wordWrap/>
        <w:overflowPunct/>
        <w:topLinePunct w:val="0"/>
        <w:autoSpaceDE w:val="0"/>
        <w:autoSpaceDN w:val="0"/>
        <w:bidi w:val="0"/>
        <w:adjustRightInd w:val="0"/>
        <w:snapToGrid w:val="0"/>
        <w:spacing w:before="0" w:line="520" w:lineRule="exact"/>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国际机票：</w:t>
      </w:r>
      <w:r>
        <w:rPr>
          <w:rFonts w:hint="eastAsia" w:ascii="微软雅黑" w:hAnsi="微软雅黑" w:eastAsia="微软雅黑" w:cs="微软雅黑"/>
          <w:color w:val="262626"/>
          <w:spacing w:val="7"/>
          <w:sz w:val="21"/>
          <w:szCs w:val="21"/>
        </w:rPr>
        <w:t>学生</w:t>
      </w:r>
      <w:r>
        <w:rPr>
          <w:rFonts w:hint="eastAsia" w:ascii="微软雅黑" w:hAnsi="微软雅黑" w:eastAsia="微软雅黑" w:cs="微软雅黑"/>
          <w:color w:val="262626"/>
          <w:spacing w:val="7"/>
          <w:sz w:val="21"/>
          <w:szCs w:val="21"/>
          <w:lang w:val="en-US" w:eastAsia="zh-CN"/>
        </w:rPr>
        <w:t>可</w:t>
      </w:r>
      <w:r>
        <w:rPr>
          <w:rFonts w:hint="eastAsia" w:ascii="微软雅黑" w:hAnsi="微软雅黑" w:eastAsia="微软雅黑" w:cs="微软雅黑"/>
          <w:color w:val="262626"/>
          <w:spacing w:val="7"/>
          <w:sz w:val="21"/>
          <w:szCs w:val="21"/>
        </w:rPr>
        <w:t>自行购买</w:t>
      </w:r>
      <w:r>
        <w:rPr>
          <w:rFonts w:hint="eastAsia" w:ascii="微软雅黑" w:hAnsi="微软雅黑" w:eastAsia="微软雅黑" w:cs="微软雅黑"/>
          <w:color w:val="262626"/>
          <w:spacing w:val="7"/>
          <w:sz w:val="21"/>
          <w:szCs w:val="21"/>
          <w:lang w:eastAsia="zh-CN"/>
        </w:rPr>
        <w:t>，</w:t>
      </w:r>
      <w:r>
        <w:rPr>
          <w:rFonts w:hint="eastAsia" w:ascii="微软雅黑" w:hAnsi="微软雅黑" w:eastAsia="微软雅黑" w:cs="微软雅黑"/>
          <w:color w:val="262626"/>
          <w:spacing w:val="9"/>
          <w:sz w:val="21"/>
          <w:szCs w:val="21"/>
          <w:lang w:val="en-US" w:eastAsia="zh-CN"/>
        </w:rPr>
        <w:t>机票费用自行承担</w:t>
      </w:r>
      <w:r>
        <w:rPr>
          <w:rFonts w:hint="eastAsia" w:ascii="微软雅黑" w:hAnsi="微软雅黑" w:eastAsia="微软雅黑" w:cs="微软雅黑"/>
          <w:color w:val="262626"/>
          <w:spacing w:val="9"/>
          <w:sz w:val="21"/>
          <w:szCs w:val="21"/>
          <w:lang w:eastAsia="zh-CN"/>
        </w:rPr>
        <w:t>。</w:t>
      </w:r>
    </w:p>
    <w:p w14:paraId="51BAF0A1">
      <w:pPr>
        <w:rPr>
          <w:rFonts w:hint="eastAsia"/>
          <w:lang w:val="en-US" w:eastAsia="en-US"/>
        </w:rPr>
      </w:pPr>
    </w:p>
    <w:p w14:paraId="77FDFC53">
      <w:pPr>
        <w:pStyle w:val="2"/>
        <w:keepNext w:val="0"/>
        <w:keepLines w:val="0"/>
        <w:pageBreakBefore w:val="0"/>
        <w:widowControl/>
        <w:kinsoku w:val="0"/>
        <w:wordWrap/>
        <w:overflowPunct/>
        <w:topLinePunct w:val="0"/>
        <w:autoSpaceDE w:val="0"/>
        <w:autoSpaceDN w:val="0"/>
        <w:bidi w:val="0"/>
        <w:adjustRightInd w:val="0"/>
        <w:snapToGrid w:val="0"/>
        <w:spacing w:before="0" w:line="520" w:lineRule="exact"/>
        <w:textAlignment w:val="baseline"/>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color w:val="000000" w:themeColor="text1"/>
          <w:sz w:val="21"/>
          <w:szCs w:val="21"/>
          <w:lang w:val="en-US" w:eastAsia="zh-CN" w:bidi="ar"/>
          <w14:textFill>
            <w14:solidFill>
              <w14:schemeClr w14:val="tx1"/>
            </w14:solidFill>
          </w14:textFill>
        </w:rPr>
        <w:t>接送机：</w:t>
      </w:r>
      <w:r>
        <w:rPr>
          <w:rFonts w:hint="eastAsia" w:ascii="微软雅黑" w:hAnsi="微软雅黑" w:eastAsia="微软雅黑" w:cs="微软雅黑"/>
          <w:color w:val="262626"/>
          <w:spacing w:val="8"/>
          <w:sz w:val="21"/>
          <w:szCs w:val="21"/>
        </w:rPr>
        <w:t>项目主办方会免费安排1-2班接</w:t>
      </w:r>
      <w:r>
        <w:rPr>
          <w:rFonts w:hint="eastAsia" w:ascii="微软雅黑" w:hAnsi="微软雅黑" w:eastAsia="微软雅黑" w:cs="微软雅黑"/>
          <w:color w:val="262626"/>
          <w:spacing w:val="8"/>
          <w:sz w:val="21"/>
          <w:szCs w:val="21"/>
          <w:lang w:val="en-US" w:eastAsia="zh-CN"/>
        </w:rPr>
        <w:t>送</w:t>
      </w:r>
      <w:r>
        <w:rPr>
          <w:rFonts w:hint="eastAsia" w:ascii="微软雅黑" w:hAnsi="微软雅黑" w:eastAsia="微软雅黑" w:cs="微软雅黑"/>
          <w:color w:val="262626"/>
          <w:spacing w:val="8"/>
          <w:sz w:val="21"/>
          <w:szCs w:val="21"/>
        </w:rPr>
        <w:t>机服务（根据团组人数</w:t>
      </w:r>
      <w:r>
        <w:rPr>
          <w:rFonts w:hint="eastAsia" w:ascii="微软雅黑" w:hAnsi="微软雅黑" w:eastAsia="微软雅黑" w:cs="微软雅黑"/>
          <w:color w:val="262626"/>
          <w:spacing w:val="8"/>
          <w:sz w:val="21"/>
          <w:szCs w:val="21"/>
          <w:lang w:val="en-US" w:eastAsia="zh-CN"/>
        </w:rPr>
        <w:t>与航班信息确定）。</w:t>
      </w:r>
    </w:p>
    <w:p w14:paraId="7D03175E">
      <w:pPr>
        <w:rPr>
          <w:rFonts w:hint="eastAsia"/>
          <w:lang w:val="en-US" w:eastAsia="en-US"/>
        </w:rPr>
      </w:pPr>
    </w:p>
    <w:p w14:paraId="3F0FBE81">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项目咨询：</w:t>
      </w:r>
    </w:p>
    <w:p w14:paraId="2F4A4759">
      <w:pPr>
        <w:keepNext w:val="0"/>
        <w:keepLines w:val="0"/>
        <w:pageBreakBefore w:val="0"/>
        <w:widowControl/>
        <w:kinsoku/>
        <w:wordWrap/>
        <w:overflowPunct/>
        <w:topLinePunct w:val="0"/>
        <w:autoSpaceDE/>
        <w:autoSpaceDN/>
        <w:bidi w:val="0"/>
        <w:adjustRightInd/>
        <w:snapToGrid/>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项目方负责人：谢老师 18516384883（微信同号）</w:t>
      </w:r>
    </w:p>
    <w:p w14:paraId="095188F7">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lang w:val="en-US" w:eastAsia="zh-CN"/>
        </w:rPr>
      </w:pPr>
      <w:r>
        <w:rPr>
          <w:rFonts w:hint="default"/>
          <w:lang w:val="en-US" w:eastAsia="zh-CN"/>
        </w:rPr>
        <w:drawing>
          <wp:inline distT="0" distB="0" distL="114300" distR="114300">
            <wp:extent cx="1393190" cy="1407160"/>
            <wp:effectExtent l="0" t="0" r="16510" b="2540"/>
            <wp:docPr id="2" name="图片 2" descr="谢老师微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谢老师微信(1)"/>
                    <pic:cNvPicPr>
                      <a:picLocks noChangeAspect="1"/>
                    </pic:cNvPicPr>
                  </pic:nvPicPr>
                  <pic:blipFill>
                    <a:blip r:embed="rId27"/>
                    <a:stretch>
                      <a:fillRect/>
                    </a:stretch>
                  </pic:blipFill>
                  <pic:spPr>
                    <a:xfrm>
                      <a:off x="0" y="0"/>
                      <a:ext cx="1393190" cy="1407160"/>
                    </a:xfrm>
                    <a:prstGeom prst="rect">
                      <a:avLst/>
                    </a:prstGeom>
                  </pic:spPr>
                </pic:pic>
              </a:graphicData>
            </a:graphic>
          </wp:inline>
        </w:drawing>
      </w:r>
      <w:r>
        <w:rPr>
          <w:rFonts w:hint="eastAsia" w:ascii="微软雅黑" w:hAnsi="微软雅黑" w:eastAsia="微软雅黑" w:cs="微软雅黑"/>
          <w:sz w:val="21"/>
          <w:szCs w:val="21"/>
          <w:lang w:val="en-US" w:eastAsia="zh-CN"/>
        </w:rPr>
        <w:t>（扫码添加微信）</w:t>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C4E69">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F7E6CF">
                          <w:pPr>
                            <w:pStyle w:val="3"/>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  \* MERGEFORMAT </w:instrText>
                          </w:r>
                          <w:r>
                            <w:rPr>
                              <w:rFonts w:hint="eastAsia" w:ascii="微软雅黑" w:hAnsi="微软雅黑" w:eastAsia="微软雅黑" w:cs="微软雅黑"/>
                            </w:rPr>
                            <w:fldChar w:fldCharType="separate"/>
                          </w:r>
                          <w:r>
                            <w:rPr>
                              <w:rFonts w:hint="eastAsia" w:ascii="微软雅黑" w:hAnsi="微软雅黑" w:eastAsia="微软雅黑" w:cs="微软雅黑"/>
                            </w:rPr>
                            <w:t>2</w:t>
                          </w:r>
                          <w:r>
                            <w:rPr>
                              <w:rFonts w:hint="eastAsia" w:ascii="微软雅黑" w:hAnsi="微软雅黑" w:eastAsia="微软雅黑" w:cs="微软雅黑"/>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24F7E6CF">
                    <w:pPr>
                      <w:pStyle w:val="3"/>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  \* MERGEFORMAT </w:instrText>
                    </w:r>
                    <w:r>
                      <w:rPr>
                        <w:rFonts w:hint="eastAsia" w:ascii="微软雅黑" w:hAnsi="微软雅黑" w:eastAsia="微软雅黑" w:cs="微软雅黑"/>
                      </w:rPr>
                      <w:fldChar w:fldCharType="separate"/>
                    </w:r>
                    <w:r>
                      <w:rPr>
                        <w:rFonts w:hint="eastAsia" w:ascii="微软雅黑" w:hAnsi="微软雅黑" w:eastAsia="微软雅黑" w:cs="微软雅黑"/>
                      </w:rPr>
                      <w:t>2</w:t>
                    </w:r>
                    <w:r>
                      <w:rPr>
                        <w:rFonts w:hint="eastAsia" w:ascii="微软雅黑" w:hAnsi="微软雅黑" w:eastAsia="微软雅黑" w:cs="微软雅黑"/>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528E5E"/>
    <w:multiLevelType w:val="singleLevel"/>
    <w:tmpl w:val="C9528E5E"/>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1NjQ5YjEwYWUwNjkwMTk2OTIyYTZmZjJhOTZlNDMifQ=="/>
  </w:docVars>
  <w:rsids>
    <w:rsidRoot w:val="F9CF7F2D"/>
    <w:rsid w:val="00043CD2"/>
    <w:rsid w:val="00206E55"/>
    <w:rsid w:val="003509ED"/>
    <w:rsid w:val="00463373"/>
    <w:rsid w:val="006C01DA"/>
    <w:rsid w:val="007045A1"/>
    <w:rsid w:val="00713567"/>
    <w:rsid w:val="0088274B"/>
    <w:rsid w:val="008C535E"/>
    <w:rsid w:val="008F2429"/>
    <w:rsid w:val="00920147"/>
    <w:rsid w:val="00996F75"/>
    <w:rsid w:val="009D7CC2"/>
    <w:rsid w:val="009E6977"/>
    <w:rsid w:val="009F205B"/>
    <w:rsid w:val="00A01EB7"/>
    <w:rsid w:val="00A45B0F"/>
    <w:rsid w:val="00AF4D52"/>
    <w:rsid w:val="00BB563A"/>
    <w:rsid w:val="00D379EE"/>
    <w:rsid w:val="00D42419"/>
    <w:rsid w:val="00D47F43"/>
    <w:rsid w:val="00E27CE1"/>
    <w:rsid w:val="00E645F5"/>
    <w:rsid w:val="00E64BB5"/>
    <w:rsid w:val="00EF3554"/>
    <w:rsid w:val="00F053BF"/>
    <w:rsid w:val="00F84C63"/>
    <w:rsid w:val="00F86C73"/>
    <w:rsid w:val="00F90F89"/>
    <w:rsid w:val="00F95A1D"/>
    <w:rsid w:val="00FA6C67"/>
    <w:rsid w:val="01445BAC"/>
    <w:rsid w:val="016A72B4"/>
    <w:rsid w:val="017936BE"/>
    <w:rsid w:val="0187748A"/>
    <w:rsid w:val="01E66372"/>
    <w:rsid w:val="02C65B17"/>
    <w:rsid w:val="03CC3F79"/>
    <w:rsid w:val="042C58C6"/>
    <w:rsid w:val="05E16DC5"/>
    <w:rsid w:val="076D5A73"/>
    <w:rsid w:val="07951A88"/>
    <w:rsid w:val="07F36299"/>
    <w:rsid w:val="07F4578F"/>
    <w:rsid w:val="0907702F"/>
    <w:rsid w:val="097924AD"/>
    <w:rsid w:val="0B13156C"/>
    <w:rsid w:val="0CA452C0"/>
    <w:rsid w:val="0CAA5073"/>
    <w:rsid w:val="0D9A3DC8"/>
    <w:rsid w:val="0DA414C9"/>
    <w:rsid w:val="0E3971CF"/>
    <w:rsid w:val="0EBB70C4"/>
    <w:rsid w:val="105B5FB3"/>
    <w:rsid w:val="10A87B1C"/>
    <w:rsid w:val="11317B11"/>
    <w:rsid w:val="12903AA2"/>
    <w:rsid w:val="12C549B5"/>
    <w:rsid w:val="13547AE7"/>
    <w:rsid w:val="14072DAB"/>
    <w:rsid w:val="143A0A8B"/>
    <w:rsid w:val="146A4C31"/>
    <w:rsid w:val="15A20FDE"/>
    <w:rsid w:val="171A27BF"/>
    <w:rsid w:val="181B5077"/>
    <w:rsid w:val="18382434"/>
    <w:rsid w:val="196327B1"/>
    <w:rsid w:val="1A292427"/>
    <w:rsid w:val="1B0E2C71"/>
    <w:rsid w:val="1BAE581B"/>
    <w:rsid w:val="1BCC2910"/>
    <w:rsid w:val="1E996EF9"/>
    <w:rsid w:val="21190C88"/>
    <w:rsid w:val="21E34AB7"/>
    <w:rsid w:val="223B07F0"/>
    <w:rsid w:val="232F72E5"/>
    <w:rsid w:val="2379043D"/>
    <w:rsid w:val="24EA14F7"/>
    <w:rsid w:val="25374C98"/>
    <w:rsid w:val="25695674"/>
    <w:rsid w:val="2661634B"/>
    <w:rsid w:val="29986528"/>
    <w:rsid w:val="2A0B0AA8"/>
    <w:rsid w:val="2B8C29EC"/>
    <w:rsid w:val="2C0D5ED0"/>
    <w:rsid w:val="2C2440A3"/>
    <w:rsid w:val="2EA37940"/>
    <w:rsid w:val="2F4131BE"/>
    <w:rsid w:val="2F4D1B62"/>
    <w:rsid w:val="31796C3F"/>
    <w:rsid w:val="32542C49"/>
    <w:rsid w:val="3321133C"/>
    <w:rsid w:val="35BF52B2"/>
    <w:rsid w:val="3758265C"/>
    <w:rsid w:val="37712B30"/>
    <w:rsid w:val="379E284F"/>
    <w:rsid w:val="37CD5040"/>
    <w:rsid w:val="38285776"/>
    <w:rsid w:val="3A422146"/>
    <w:rsid w:val="3B337E5E"/>
    <w:rsid w:val="3C385A3F"/>
    <w:rsid w:val="3D7B3D3F"/>
    <w:rsid w:val="3DE23DBE"/>
    <w:rsid w:val="410703C2"/>
    <w:rsid w:val="41664E4D"/>
    <w:rsid w:val="421123AE"/>
    <w:rsid w:val="42FB6FC1"/>
    <w:rsid w:val="434507EC"/>
    <w:rsid w:val="44683056"/>
    <w:rsid w:val="473D4806"/>
    <w:rsid w:val="48F13A80"/>
    <w:rsid w:val="49501428"/>
    <w:rsid w:val="49B63529"/>
    <w:rsid w:val="4AB41B49"/>
    <w:rsid w:val="4C0344C2"/>
    <w:rsid w:val="4D3D487B"/>
    <w:rsid w:val="4F8D7DF6"/>
    <w:rsid w:val="50B43398"/>
    <w:rsid w:val="51183927"/>
    <w:rsid w:val="51B15B29"/>
    <w:rsid w:val="51B178D7"/>
    <w:rsid w:val="523302EC"/>
    <w:rsid w:val="526E548C"/>
    <w:rsid w:val="52987BE1"/>
    <w:rsid w:val="5325057D"/>
    <w:rsid w:val="53E326A2"/>
    <w:rsid w:val="54295E4B"/>
    <w:rsid w:val="546647FF"/>
    <w:rsid w:val="54D67EA1"/>
    <w:rsid w:val="55FD758F"/>
    <w:rsid w:val="56332FB1"/>
    <w:rsid w:val="56977FCF"/>
    <w:rsid w:val="582F6A50"/>
    <w:rsid w:val="5A92474A"/>
    <w:rsid w:val="5AAE6CFC"/>
    <w:rsid w:val="5CD047B8"/>
    <w:rsid w:val="5CEC7BF6"/>
    <w:rsid w:val="5DD22D4D"/>
    <w:rsid w:val="5F0D3BAF"/>
    <w:rsid w:val="5F290805"/>
    <w:rsid w:val="5FD117C0"/>
    <w:rsid w:val="5FE97403"/>
    <w:rsid w:val="619A0388"/>
    <w:rsid w:val="63F96601"/>
    <w:rsid w:val="661A1A97"/>
    <w:rsid w:val="66F03B9D"/>
    <w:rsid w:val="673D1557"/>
    <w:rsid w:val="679F4C87"/>
    <w:rsid w:val="683055A2"/>
    <w:rsid w:val="68950C13"/>
    <w:rsid w:val="69625B06"/>
    <w:rsid w:val="6ABB225B"/>
    <w:rsid w:val="6B596E94"/>
    <w:rsid w:val="6CEA5053"/>
    <w:rsid w:val="6DB12CE1"/>
    <w:rsid w:val="6DBD1686"/>
    <w:rsid w:val="6DF27F6E"/>
    <w:rsid w:val="6E31670A"/>
    <w:rsid w:val="6E3A2CD6"/>
    <w:rsid w:val="6E65280C"/>
    <w:rsid w:val="6E930639"/>
    <w:rsid w:val="6EC757E0"/>
    <w:rsid w:val="6EE175F6"/>
    <w:rsid w:val="6F791701"/>
    <w:rsid w:val="724A7260"/>
    <w:rsid w:val="72AF65B7"/>
    <w:rsid w:val="72FC67AC"/>
    <w:rsid w:val="73AE50CD"/>
    <w:rsid w:val="740C6EC3"/>
    <w:rsid w:val="7726295E"/>
    <w:rsid w:val="776D3018"/>
    <w:rsid w:val="77C267CE"/>
    <w:rsid w:val="78A02B78"/>
    <w:rsid w:val="78FC6E7B"/>
    <w:rsid w:val="79D264B9"/>
    <w:rsid w:val="7C80044E"/>
    <w:rsid w:val="7DEF72AE"/>
    <w:rsid w:val="915E4A4F"/>
    <w:rsid w:val="F9CF7F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宋体" w:hAnsi="宋体" w:eastAsia="宋体" w:cs="宋体"/>
      <w:sz w:val="24"/>
      <w:szCs w:val="24"/>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pPr>
      <w:widowControl w:val="0"/>
      <w:autoSpaceDE w:val="0"/>
      <w:autoSpaceDN w:val="0"/>
      <w:spacing w:before="163"/>
    </w:pPr>
    <w:rPr>
      <w:rFonts w:ascii="仿宋" w:hAnsi="仿宋" w:eastAsia="仿宋" w:cs="仿宋"/>
      <w:sz w:val="36"/>
      <w:szCs w:val="36"/>
      <w:lang w:val="zh-CN" w:bidi="zh-CN"/>
    </w:rPr>
  </w:style>
  <w:style w:type="paragraph" w:styleId="3">
    <w:name w:val="footer"/>
    <w:basedOn w:val="1"/>
    <w:autoRedefine/>
    <w:unhideWhenUsed/>
    <w:qFormat/>
    <w:uiPriority w:val="99"/>
    <w:pPr>
      <w:tabs>
        <w:tab w:val="center" w:pos="4153"/>
        <w:tab w:val="right" w:pos="8306"/>
      </w:tabs>
      <w:snapToGrid w:val="0"/>
      <w:jc w:val="left"/>
    </w:pPr>
    <w:rPr>
      <w:sz w:val="18"/>
      <w:szCs w:val="18"/>
    </w:rPr>
  </w:style>
  <w:style w:type="paragraph" w:styleId="4">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Emphasis"/>
    <w:basedOn w:val="8"/>
    <w:qFormat/>
    <w:uiPriority w:val="0"/>
    <w:rPr>
      <w:i/>
    </w:rPr>
  </w:style>
  <w:style w:type="character" w:styleId="11">
    <w:name w:val="Hyperlink"/>
    <w:basedOn w:val="8"/>
    <w:autoRedefine/>
    <w:qFormat/>
    <w:uiPriority w:val="0"/>
    <w:rPr>
      <w:color w:val="0000FF"/>
      <w:u w:val="single"/>
    </w:rPr>
  </w:style>
  <w:style w:type="paragraph" w:styleId="12">
    <w:name w:val="List Paragraph"/>
    <w:basedOn w:val="1"/>
    <w:autoRedefine/>
    <w:qFormat/>
    <w:uiPriority w:val="99"/>
    <w:pPr>
      <w:widowControl w:val="0"/>
      <w:ind w:firstLine="420" w:firstLineChars="200"/>
      <w:jc w:val="both"/>
    </w:pPr>
    <w:rPr>
      <w:rFonts w:ascii="Calibri" w:hAnsi="Calibri" w:eastAsia="宋体" w:cs="Times New Roman"/>
      <w:kern w:val="2"/>
      <w:sz w:val="21"/>
    </w:rPr>
  </w:style>
  <w:style w:type="paragraph" w:customStyle="1" w:styleId="13">
    <w:name w:val="列表段落1"/>
    <w:basedOn w:val="1"/>
    <w:autoRedefine/>
    <w:qFormat/>
    <w:uiPriority w:val="34"/>
    <w:pPr>
      <w:ind w:firstLine="420" w:firstLineChars="200"/>
    </w:pPr>
  </w:style>
  <w:style w:type="character" w:customStyle="1" w:styleId="14">
    <w:name w:val="pp-place-title"/>
    <w:basedOn w:val="8"/>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893</Words>
  <Characters>925</Characters>
  <Lines>20</Lines>
  <Paragraphs>5</Paragraphs>
  <TotalTime>11</TotalTime>
  <ScaleCrop>false</ScaleCrop>
  <LinksUpToDate>false</LinksUpToDate>
  <CharactersWithSpaces>932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2024-03-05T02:12:00Z</dcterms:created>
  <dc:creator>張小e❓</dc:creator>
  <cp:lastModifiedBy>项目指导老师-谢老师</cp:lastModifiedBy>
  <cp:lastPrinted>2024-03-06T09:28:00Z</cp:lastPrinted>
  <dcterms:modified xsi:type="dcterms:W3CDTF">2026-03-19T09:15:21Z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160B2C7AD31949F5A246692B09C3CE12_13</vt:lpwstr>
  </property>
  <property fmtid="{D5CDD505-2E9C-101B-9397-08002B2CF9AE}" pid="4" name="KSOTemplateDocerSaveRecord">
    <vt:lpwstr>eyJoZGlkIjoiMmFmMWIyNzAzM2M1MzUxZTk3N2Y5ZmE3OWY4OTU2NmQiLCJ1c2VySWQiOiIxNTEzMTQyMTI4In0=</vt:lpwstr>
  </property>
</Properties>
</file>