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34BA8">
      <w:pPr>
        <w:spacing w:line="360" w:lineRule="auto"/>
        <w:ind w:firstLine="1201" w:firstLineChars="400"/>
        <w:jc w:val="both"/>
        <w:rPr>
          <w:rFonts w:hint="eastAsia" w:ascii="微软雅黑" w:hAnsi="微软雅黑" w:eastAsia="微软雅黑" w:cs="微软雅黑"/>
          <w:b/>
          <w:bCs/>
          <w:color w:val="000000"/>
          <w:sz w:val="30"/>
          <w:szCs w:val="30"/>
          <w:lang w:val="en-US" w:eastAsia="zh-CN" w:bidi="ar"/>
        </w:rPr>
      </w:pPr>
    </w:p>
    <w:p w14:paraId="7B1A5B19">
      <w:pPr>
        <w:spacing w:line="360" w:lineRule="auto"/>
        <w:ind w:firstLine="1201" w:firstLineChars="400"/>
        <w:jc w:val="both"/>
        <w:rPr>
          <w:rFonts w:hint="eastAsia" w:ascii="微软雅黑" w:hAnsi="微软雅黑" w:eastAsia="微软雅黑" w:cs="微软雅黑"/>
          <w:b/>
          <w:bCs/>
          <w:color w:val="000000"/>
          <w:sz w:val="30"/>
          <w:szCs w:val="30"/>
          <w:lang w:val="en-US" w:eastAsia="zh-CN" w:bidi="ar"/>
        </w:rPr>
      </w:pPr>
    </w:p>
    <w:p w14:paraId="7C1B4F43">
      <w:pPr>
        <w:spacing w:line="360" w:lineRule="auto"/>
        <w:jc w:val="both"/>
        <w:rPr>
          <w:rFonts w:hint="eastAsia" w:ascii="微软雅黑" w:hAnsi="微软雅黑" w:eastAsia="微软雅黑" w:cs="微软雅黑"/>
          <w:b/>
          <w:bCs/>
          <w:color w:val="000000"/>
          <w:sz w:val="44"/>
          <w:szCs w:val="44"/>
          <w:lang w:val="en-US" w:eastAsia="zh-CN" w:bidi="ar"/>
        </w:rPr>
      </w:pPr>
    </w:p>
    <w:p w14:paraId="747D6AF7">
      <w:pPr>
        <w:rPr>
          <w:rFonts w:hint="eastAsia"/>
          <w:sz w:val="44"/>
          <w:szCs w:val="44"/>
        </w:rPr>
      </w:pPr>
      <w:r>
        <w:rPr>
          <w:rFonts w:hint="eastAsia" w:eastAsia="宋体"/>
          <w:lang w:eastAsia="zh-CN"/>
        </w:rPr>
        <w:drawing>
          <wp:inline distT="0" distB="0" distL="114300" distR="114300">
            <wp:extent cx="5356860" cy="3806825"/>
            <wp:effectExtent l="0" t="0" r="5715" b="3175"/>
            <wp:docPr id="6" name="图片 6" descr="封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封面1"/>
                    <pic:cNvPicPr>
                      <a:picLocks noChangeAspect="1"/>
                    </pic:cNvPicPr>
                  </pic:nvPicPr>
                  <pic:blipFill>
                    <a:blip r:embed="rId5"/>
                    <a:srcRect t="5246"/>
                    <a:stretch>
                      <a:fillRect/>
                    </a:stretch>
                  </pic:blipFill>
                  <pic:spPr>
                    <a:xfrm>
                      <a:off x="0" y="0"/>
                      <a:ext cx="5356860" cy="3806825"/>
                    </a:xfrm>
                    <a:prstGeom prst="rect">
                      <a:avLst/>
                    </a:prstGeom>
                  </pic:spPr>
                </pic:pic>
              </a:graphicData>
            </a:graphic>
          </wp:inline>
        </w:drawing>
      </w:r>
    </w:p>
    <w:p w14:paraId="381F7E5D">
      <w:pPr>
        <w:rPr>
          <w:rFonts w:hint="eastAsia"/>
        </w:rPr>
      </w:pPr>
    </w:p>
    <w:p w14:paraId="20BB006C">
      <w:pPr>
        <w:rPr>
          <w:rFonts w:hint="eastAsia"/>
        </w:rPr>
      </w:pPr>
    </w:p>
    <w:p w14:paraId="790BE3F5">
      <w:pPr>
        <w:rPr>
          <w:rFonts w:hint="eastAsia"/>
        </w:rPr>
      </w:pPr>
    </w:p>
    <w:p w14:paraId="1A0C0FAD">
      <w:pPr>
        <w:rPr>
          <w:rFonts w:hint="eastAsia" w:eastAsia="宋体"/>
          <w:lang w:eastAsia="zh-CN"/>
        </w:rPr>
      </w:pPr>
    </w:p>
    <w:p w14:paraId="32E57D9A">
      <w:pPr>
        <w:spacing w:line="360" w:lineRule="auto"/>
        <w:rPr>
          <w:rFonts w:hint="eastAsia" w:ascii="微软雅黑" w:hAnsi="微软雅黑" w:eastAsia="微软雅黑" w:cs="微软雅黑"/>
          <w:b/>
          <w:bCs/>
        </w:rPr>
      </w:pPr>
    </w:p>
    <w:p w14:paraId="0C40A363">
      <w:pPr>
        <w:spacing w:line="360" w:lineRule="auto"/>
        <w:ind w:firstLine="880" w:firstLineChars="200"/>
        <w:jc w:val="both"/>
        <w:rPr>
          <w:rFonts w:hint="eastAsia" w:ascii="微软雅黑" w:hAnsi="微软雅黑" w:eastAsia="微软雅黑" w:cs="微软雅黑"/>
          <w:b/>
          <w:bCs/>
          <w:color w:val="000000"/>
          <w:sz w:val="44"/>
          <w:szCs w:val="44"/>
          <w:lang w:val="en-US" w:eastAsia="zh-CN" w:bidi="ar"/>
        </w:rPr>
      </w:pPr>
      <w:r>
        <w:rPr>
          <w:rFonts w:hint="eastAsia" w:ascii="微软雅黑" w:hAnsi="微软雅黑" w:eastAsia="微软雅黑" w:cs="微软雅黑"/>
          <w:b/>
          <w:bCs/>
          <w:color w:val="000000"/>
          <w:sz w:val="44"/>
          <w:szCs w:val="44"/>
          <w:lang w:val="en-US" w:eastAsia="zh-CN" w:bidi="ar"/>
        </w:rPr>
        <w:t>新加坡名校海外创新创业实训项目</w:t>
      </w:r>
    </w:p>
    <w:p w14:paraId="11958B52">
      <w:pPr>
        <w:spacing w:line="360" w:lineRule="auto"/>
        <w:rPr>
          <w:rFonts w:hint="eastAsia" w:ascii="微软雅黑" w:hAnsi="微软雅黑" w:eastAsia="微软雅黑" w:cs="微软雅黑"/>
          <w:b/>
          <w:bCs/>
        </w:rPr>
      </w:pPr>
    </w:p>
    <w:p w14:paraId="30A2F0BD">
      <w:pPr>
        <w:spacing w:line="360" w:lineRule="auto"/>
        <w:rPr>
          <w:rFonts w:hint="eastAsia" w:ascii="微软雅黑" w:hAnsi="微软雅黑" w:eastAsia="微软雅黑" w:cs="微软雅黑"/>
          <w:b/>
          <w:bCs/>
        </w:rPr>
      </w:pPr>
    </w:p>
    <w:p w14:paraId="7AB8BF64">
      <w:pPr>
        <w:spacing w:line="360" w:lineRule="auto"/>
        <w:rPr>
          <w:rFonts w:hint="eastAsia" w:ascii="微软雅黑" w:hAnsi="微软雅黑" w:eastAsia="微软雅黑" w:cs="微软雅黑"/>
          <w:b/>
          <w:bCs/>
        </w:rPr>
      </w:pPr>
    </w:p>
    <w:p w14:paraId="3AA015CA">
      <w:pPr>
        <w:spacing w:line="360" w:lineRule="auto"/>
        <w:rPr>
          <w:rFonts w:hint="eastAsia" w:ascii="微软雅黑" w:hAnsi="微软雅黑" w:eastAsia="微软雅黑" w:cs="微软雅黑"/>
          <w:b/>
          <w:bCs/>
        </w:rPr>
      </w:pPr>
    </w:p>
    <w:p w14:paraId="349A0E3B">
      <w:pPr>
        <w:spacing w:line="360" w:lineRule="auto"/>
        <w:rPr>
          <w:rFonts w:hint="eastAsia" w:ascii="微软雅黑" w:hAnsi="微软雅黑" w:eastAsia="微软雅黑" w:cs="微软雅黑"/>
          <w:b/>
          <w:bCs/>
        </w:rPr>
        <w:sectPr>
          <w:pgSz w:w="11906" w:h="16838"/>
          <w:pgMar w:top="1440" w:right="1800" w:bottom="1440" w:left="1800" w:header="851" w:footer="992" w:gutter="0"/>
          <w:cols w:space="425" w:num="1"/>
          <w:docGrid w:type="lines" w:linePitch="312" w:charSpace="0"/>
        </w:sectPr>
      </w:pPr>
    </w:p>
    <w:p w14:paraId="09EE81E3">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43DC95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color w:val="000000"/>
          <w:sz w:val="21"/>
          <w:szCs w:val="21"/>
          <w:lang w:val="en-US" w:eastAsia="zh-CN" w:bidi="ar"/>
        </w:rPr>
        <w:t>为培养具有国际视野的创新型高素质人才，切实提升学生国际竞争力和就业能力，</w:t>
      </w:r>
      <w:r>
        <w:rPr>
          <w:rFonts w:hint="eastAsia" w:ascii="微软雅黑" w:hAnsi="微软雅黑" w:eastAsia="微软雅黑" w:cs="微软雅黑"/>
          <w:color w:val="000000"/>
          <w:sz w:val="21"/>
          <w:szCs w:val="21"/>
          <w:lang w:bidi="ar"/>
        </w:rPr>
        <w:t>推动国内高校着力构建赶超世界先进水平人才培养体系，加快培养勇闯“无人区”的高层次人才，推出“</w:t>
      </w:r>
      <w:r>
        <w:rPr>
          <w:rFonts w:hint="eastAsia" w:ascii="微软雅黑" w:hAnsi="微软雅黑" w:eastAsia="微软雅黑" w:cs="微软雅黑"/>
          <w:color w:val="000000"/>
          <w:sz w:val="21"/>
          <w:szCs w:val="21"/>
          <w:lang w:val="en-US" w:eastAsia="zh-CN" w:bidi="ar"/>
        </w:rPr>
        <w:t>新加坡名校海外创新创业实训项目”</w:t>
      </w:r>
      <w:r>
        <w:rPr>
          <w:rFonts w:hint="eastAsia" w:ascii="微软雅黑" w:hAnsi="微软雅黑" w:eastAsia="微软雅黑" w:cs="微软雅黑"/>
          <w:color w:val="000000"/>
          <w:sz w:val="21"/>
          <w:szCs w:val="21"/>
          <w:lang w:bidi="ar"/>
        </w:rPr>
        <w:t>。</w:t>
      </w:r>
      <w:r>
        <w:rPr>
          <w:rFonts w:hint="eastAsia" w:ascii="微软雅黑" w:hAnsi="微软雅黑" w:eastAsia="微软雅黑" w:cs="微软雅黑"/>
          <w:color w:val="000000"/>
          <w:sz w:val="21"/>
          <w:szCs w:val="21"/>
          <w:lang w:val="en-US" w:bidi="ar"/>
        </w:rPr>
        <w:t>项目为期</w:t>
      </w:r>
      <w:r>
        <w:rPr>
          <w:rFonts w:hint="eastAsia" w:ascii="微软雅黑" w:hAnsi="微软雅黑" w:eastAsia="微软雅黑" w:cs="微软雅黑"/>
          <w:color w:val="000000"/>
          <w:sz w:val="21"/>
          <w:szCs w:val="21"/>
          <w:lang w:val="en-US" w:eastAsia="zh-CN" w:bidi="ar"/>
        </w:rPr>
        <w:t>7</w:t>
      </w:r>
      <w:r>
        <w:rPr>
          <w:rFonts w:hint="eastAsia" w:ascii="微软雅黑" w:hAnsi="微软雅黑" w:eastAsia="微软雅黑" w:cs="微软雅黑"/>
          <w:color w:val="000000"/>
          <w:sz w:val="21"/>
          <w:szCs w:val="21"/>
          <w:lang w:val="en-US" w:bidi="ar"/>
        </w:rPr>
        <w:t>天，学生赴</w:t>
      </w:r>
      <w:r>
        <w:rPr>
          <w:rFonts w:hint="eastAsia" w:ascii="微软雅黑" w:hAnsi="微软雅黑" w:eastAsia="微软雅黑" w:cs="微软雅黑"/>
          <w:spacing w:val="-4"/>
          <w:sz w:val="21"/>
          <w:szCs w:val="21"/>
          <w:lang w:val="en-US" w:eastAsia="zh-CN"/>
        </w:rPr>
        <w:t>新加坡国立大学、南洋理工大学</w:t>
      </w:r>
      <w:r>
        <w:rPr>
          <w:rFonts w:hint="eastAsia" w:ascii="微软雅黑" w:hAnsi="微软雅黑" w:eastAsia="微软雅黑" w:cs="微软雅黑"/>
          <w:color w:val="000000"/>
          <w:sz w:val="21"/>
          <w:szCs w:val="21"/>
          <w:lang w:val="en-US" w:bidi="ar"/>
        </w:rPr>
        <w:t>、</w:t>
      </w:r>
      <w:r>
        <w:rPr>
          <w:rFonts w:hint="eastAsia" w:ascii="微软雅黑" w:hAnsi="微软雅黑" w:eastAsia="微软雅黑" w:cs="微软雅黑"/>
          <w:spacing w:val="-4"/>
          <w:sz w:val="21"/>
          <w:szCs w:val="21"/>
          <w:lang w:val="en-US" w:eastAsia="zh-CN"/>
        </w:rPr>
        <w:t>新加坡社科</w:t>
      </w:r>
      <w:r>
        <w:rPr>
          <w:rFonts w:hint="eastAsia" w:ascii="微软雅黑" w:hAnsi="微软雅黑" w:eastAsia="微软雅黑" w:cs="微软雅黑"/>
          <w:spacing w:val="-4"/>
          <w:sz w:val="21"/>
          <w:szCs w:val="21"/>
          <w:lang w:val="en-US"/>
        </w:rPr>
        <w:t>大学学习</w:t>
      </w:r>
      <w:r>
        <w:rPr>
          <w:rFonts w:hint="eastAsia" w:ascii="微软雅黑" w:hAnsi="微软雅黑" w:eastAsia="微软雅黑" w:cs="微软雅黑"/>
          <w:spacing w:val="-4"/>
          <w:sz w:val="21"/>
          <w:szCs w:val="21"/>
          <w:lang w:val="en-US" w:eastAsia="zh-CN"/>
        </w:rPr>
        <w:t>、</w:t>
      </w:r>
      <w:r>
        <w:rPr>
          <w:rFonts w:hint="eastAsia" w:ascii="微软雅黑" w:hAnsi="微软雅黑" w:eastAsia="微软雅黑" w:cs="微软雅黑"/>
          <w:spacing w:val="-4"/>
          <w:sz w:val="21"/>
          <w:szCs w:val="21"/>
          <w:lang w:val="en-US"/>
        </w:rPr>
        <w:t>交流</w:t>
      </w:r>
      <w:r>
        <w:rPr>
          <w:rFonts w:hint="eastAsia" w:ascii="微软雅黑" w:hAnsi="微软雅黑" w:eastAsia="微软雅黑" w:cs="微软雅黑"/>
          <w:color w:val="000000"/>
          <w:sz w:val="21"/>
          <w:szCs w:val="21"/>
          <w:lang w:val="en-US" w:bidi="ar"/>
        </w:rPr>
        <w:t>、</w:t>
      </w:r>
      <w:r>
        <w:rPr>
          <w:rFonts w:hint="eastAsia" w:ascii="微软雅黑" w:hAnsi="微软雅黑" w:eastAsia="微软雅黑" w:cs="微软雅黑"/>
          <w:spacing w:val="-4"/>
          <w:sz w:val="21"/>
          <w:szCs w:val="21"/>
          <w:lang w:val="en-US" w:eastAsia="zh-CN"/>
        </w:rPr>
        <w:t>参访，</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新加坡政企机构进行访问</w:t>
      </w:r>
      <w:r>
        <w:rPr>
          <w:rFonts w:hint="eastAsia" w:ascii="微软雅黑" w:hAnsi="微软雅黑" w:eastAsia="微软雅黑" w:cs="微软雅黑"/>
          <w:color w:val="000000"/>
          <w:sz w:val="21"/>
          <w:szCs w:val="21"/>
          <w:lang w:val="en-US" w:bidi="ar"/>
        </w:rPr>
        <w:t>。项目由</w:t>
      </w:r>
      <w:r>
        <w:rPr>
          <w:rFonts w:hint="eastAsia" w:ascii="微软雅黑" w:hAnsi="微软雅黑" w:eastAsia="微软雅黑" w:cs="微软雅黑"/>
          <w:color w:val="000000"/>
          <w:sz w:val="21"/>
          <w:szCs w:val="21"/>
          <w:lang w:val="en-US" w:eastAsia="zh-CN" w:bidi="ar"/>
        </w:rPr>
        <w:t>各高校参与学生</w:t>
      </w:r>
      <w:r>
        <w:rPr>
          <w:rFonts w:hint="eastAsia" w:ascii="微软雅黑" w:hAnsi="微软雅黑" w:eastAsia="微软雅黑" w:cs="微软雅黑"/>
          <w:color w:val="000000"/>
          <w:sz w:val="21"/>
          <w:szCs w:val="21"/>
          <w:lang w:val="en-US" w:bidi="ar"/>
        </w:rPr>
        <w:t>共同组成小组，深入新</w:t>
      </w:r>
      <w:r>
        <w:rPr>
          <w:rFonts w:hint="eastAsia" w:ascii="微软雅黑" w:hAnsi="微软雅黑" w:eastAsia="微软雅黑" w:cs="微软雅黑"/>
          <w:color w:val="000000"/>
          <w:sz w:val="21"/>
          <w:szCs w:val="21"/>
          <w:lang w:val="en-US" w:eastAsia="zh-CN" w:bidi="ar"/>
        </w:rPr>
        <w:t>加坡高校、政企机构</w:t>
      </w:r>
      <w:r>
        <w:rPr>
          <w:rFonts w:hint="eastAsia" w:ascii="微软雅黑" w:hAnsi="微软雅黑" w:eastAsia="微软雅黑" w:cs="微软雅黑"/>
          <w:color w:val="000000"/>
          <w:sz w:val="21"/>
          <w:szCs w:val="21"/>
          <w:lang w:val="en-US" w:bidi="ar"/>
        </w:rPr>
        <w:t>开展项目体验、专业学习、职业规划</w:t>
      </w:r>
      <w:r>
        <w:rPr>
          <w:rFonts w:hint="eastAsia" w:ascii="微软雅黑" w:hAnsi="微软雅黑" w:eastAsia="微软雅黑" w:cs="微软雅黑"/>
          <w:color w:val="000000"/>
          <w:sz w:val="21"/>
          <w:szCs w:val="21"/>
          <w:lang w:val="en-US" w:eastAsia="zh-CN" w:bidi="ar"/>
        </w:rPr>
        <w:t>等</w:t>
      </w:r>
      <w:r>
        <w:rPr>
          <w:rFonts w:hint="eastAsia" w:ascii="微软雅黑" w:hAnsi="微软雅黑" w:eastAsia="微软雅黑" w:cs="微软雅黑"/>
          <w:color w:val="000000"/>
          <w:sz w:val="21"/>
          <w:szCs w:val="21"/>
          <w:lang w:val="en-US" w:bidi="ar"/>
        </w:rPr>
        <w:t>，帮助学生深刻了解战略前沿行业、树立职业信心、规划职业发展、赋能职业技能，对接企业和导师资源，帮助学生</w:t>
      </w:r>
      <w:r>
        <w:rPr>
          <w:rFonts w:hint="eastAsia" w:ascii="微软雅黑" w:hAnsi="微软雅黑" w:eastAsia="微软雅黑" w:cs="微软雅黑"/>
          <w:color w:val="000000"/>
          <w:sz w:val="21"/>
          <w:szCs w:val="21"/>
          <w:lang w:val="en-US" w:eastAsia="zh-CN" w:bidi="ar"/>
        </w:rPr>
        <w:t>深入了解</w:t>
      </w:r>
      <w:r>
        <w:rPr>
          <w:rFonts w:hint="eastAsia" w:ascii="微软雅黑" w:hAnsi="微软雅黑" w:eastAsia="微软雅黑" w:cs="微软雅黑"/>
          <w:color w:val="000000"/>
          <w:sz w:val="21"/>
          <w:szCs w:val="21"/>
          <w:lang w:val="en-US" w:bidi="ar"/>
        </w:rPr>
        <w:t>新加坡名企，对企业需求有更准确的认知。</w:t>
      </w:r>
    </w:p>
    <w:p w14:paraId="10E22618">
      <w:pPr>
        <w:spacing w:line="360" w:lineRule="auto"/>
        <w:ind w:firstLine="420" w:firstLineChars="200"/>
        <w:rPr>
          <w:rFonts w:ascii="仿宋" w:hAnsi="仿宋" w:eastAsia="仿宋"/>
          <w:color w:val="000000"/>
          <w:sz w:val="21"/>
          <w:szCs w:val="21"/>
          <w:lang w:bidi="ar"/>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57AE0873">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新加坡国立大学参访与交流，南洋理工大学、</w:t>
      </w:r>
      <w:r>
        <w:rPr>
          <w:rFonts w:hint="eastAsia" w:ascii="微软雅黑" w:hAnsi="微软雅黑" w:eastAsia="微软雅黑" w:cs="微软雅黑"/>
          <w:spacing w:val="-4"/>
          <w:sz w:val="21"/>
          <w:szCs w:val="21"/>
          <w:lang w:val="en-US"/>
        </w:rPr>
        <w:t>新加坡社科大学学习与交流</w:t>
      </w:r>
      <w:r>
        <w:rPr>
          <w:rFonts w:hint="eastAsia" w:ascii="微软雅黑" w:hAnsi="微软雅黑" w:eastAsia="微软雅黑" w:cs="微软雅黑"/>
          <w:spacing w:val="-4"/>
          <w:sz w:val="21"/>
          <w:szCs w:val="21"/>
          <w:lang w:val="en-US" w:eastAsia="zh-CN"/>
        </w:rPr>
        <w:t>；</w:t>
      </w:r>
    </w:p>
    <w:p w14:paraId="18ADB5E7">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新加坡</w:t>
      </w:r>
      <w:r>
        <w:rPr>
          <w:rFonts w:hint="eastAsia" w:ascii="微软雅黑" w:hAnsi="微软雅黑" w:eastAsia="微软雅黑" w:cs="微软雅黑"/>
          <w:spacing w:val="-4"/>
          <w:sz w:val="21"/>
          <w:szCs w:val="21"/>
          <w:lang w:val="en-US"/>
        </w:rPr>
        <w:t>名企</w:t>
      </w:r>
      <w:r>
        <w:rPr>
          <w:rFonts w:hint="eastAsia" w:ascii="微软雅黑" w:hAnsi="微软雅黑" w:eastAsia="微软雅黑" w:cs="微软雅黑"/>
          <w:spacing w:val="-4"/>
          <w:sz w:val="21"/>
          <w:szCs w:val="21"/>
          <w:lang w:val="en-US" w:eastAsia="zh-CN"/>
        </w:rPr>
        <w:t>进行交流访问学习，与行业、企业高级管理者、业务骨干进行深度行业交流与探讨；</w:t>
      </w:r>
    </w:p>
    <w:p w14:paraId="7FFE876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顶尖</w:t>
      </w:r>
      <w:r>
        <w:rPr>
          <w:rFonts w:hint="eastAsia" w:ascii="微软雅黑" w:hAnsi="微软雅黑" w:eastAsia="微软雅黑" w:cs="微软雅黑"/>
          <w:spacing w:val="-4"/>
          <w:sz w:val="21"/>
          <w:szCs w:val="21"/>
          <w:lang w:val="en-US"/>
        </w:rPr>
        <w:t>行业</w:t>
      </w:r>
      <w:r>
        <w:rPr>
          <w:rFonts w:hint="eastAsia" w:ascii="微软雅黑" w:hAnsi="微软雅黑" w:eastAsia="微软雅黑" w:cs="微软雅黑"/>
          <w:spacing w:val="-4"/>
          <w:sz w:val="21"/>
          <w:szCs w:val="21"/>
          <w:lang w:val="en-US" w:eastAsia="zh-CN"/>
        </w:rPr>
        <w:t>、知名企业</w:t>
      </w:r>
      <w:r>
        <w:rPr>
          <w:rFonts w:hint="eastAsia" w:ascii="微软雅黑" w:hAnsi="微软雅黑" w:eastAsia="微软雅黑" w:cs="微软雅黑"/>
          <w:spacing w:val="-4"/>
          <w:sz w:val="21"/>
          <w:szCs w:val="21"/>
          <w:lang w:val="en-US"/>
        </w:rPr>
        <w:t>特邀嘉宾、教授</w:t>
      </w:r>
      <w:r>
        <w:rPr>
          <w:rFonts w:hint="eastAsia" w:ascii="微软雅黑" w:hAnsi="微软雅黑" w:eastAsia="微软雅黑" w:cs="微软雅黑"/>
          <w:spacing w:val="-4"/>
          <w:sz w:val="21"/>
          <w:szCs w:val="21"/>
          <w:lang w:val="en-US" w:eastAsia="zh-CN"/>
        </w:rPr>
        <w:t>共同探讨领域前沿课题；</w:t>
      </w:r>
    </w:p>
    <w:p w14:paraId="44A52F7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交叉学科</w:t>
      </w:r>
      <w:r>
        <w:rPr>
          <w:rFonts w:hint="eastAsia" w:ascii="微软雅黑" w:hAnsi="微软雅黑" w:eastAsia="微软雅黑" w:cs="微软雅黑"/>
          <w:spacing w:val="-4"/>
          <w:sz w:val="21"/>
          <w:szCs w:val="21"/>
          <w:lang w:val="en-US"/>
        </w:rPr>
        <w:t>学习</w:t>
      </w:r>
      <w:r>
        <w:rPr>
          <w:rFonts w:hint="eastAsia" w:ascii="微软雅黑" w:hAnsi="微软雅黑" w:eastAsia="微软雅黑" w:cs="微软雅黑"/>
          <w:spacing w:val="-4"/>
          <w:sz w:val="21"/>
          <w:szCs w:val="21"/>
          <w:lang w:val="en-US" w:eastAsia="zh-CN"/>
        </w:rPr>
        <w:t>，跨专业领域探讨，拓宽就业领域认知；</w:t>
      </w:r>
    </w:p>
    <w:p w14:paraId="076F610A">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新加坡国立大学/南洋理工大学升学分享，助力留学。</w:t>
      </w:r>
    </w:p>
    <w:p w14:paraId="096616C1">
      <w:pPr>
        <w:rPr>
          <w:rFonts w:hint="eastAsia" w:ascii="微软雅黑" w:hAnsi="微软雅黑" w:eastAsia="微软雅黑" w:cs="微软雅黑"/>
          <w:color w:val="000000"/>
          <w:sz w:val="20"/>
          <w:szCs w:val="20"/>
          <w:lang w:eastAsia="zh-CN" w:bidi="ar"/>
        </w:rPr>
      </w:pPr>
      <w:r>
        <w:rPr>
          <w:rFonts w:hint="eastAsia" w:ascii="微软雅黑" w:hAnsi="微软雅黑" w:eastAsia="微软雅黑" w:cs="微软雅黑"/>
          <w:color w:val="B72024"/>
          <w:sz w:val="20"/>
          <w:szCs w:val="20"/>
          <w:lang w:bidi="ar"/>
        </w:rPr>
        <w:drawing>
          <wp:inline distT="0" distB="0" distL="114300" distR="114300">
            <wp:extent cx="2653665" cy="1970405"/>
            <wp:effectExtent l="0" t="0" r="13335" b="10795"/>
            <wp:docPr id="23" name="图片 23" descr="C:/Users/Administrator/Desktop/学科3.jpg学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学科3.jpg学科3"/>
                    <pic:cNvPicPr>
                      <a:picLocks noChangeAspect="1"/>
                    </pic:cNvPicPr>
                  </pic:nvPicPr>
                  <pic:blipFill>
                    <a:blip r:embed="rId6"/>
                    <a:srcRect t="694" b="694"/>
                    <a:stretch>
                      <a:fillRect/>
                    </a:stretch>
                  </pic:blipFill>
                  <pic:spPr>
                    <a:xfrm>
                      <a:off x="0" y="0"/>
                      <a:ext cx="2653665" cy="1970405"/>
                    </a:xfrm>
                    <a:prstGeom prst="rect">
                      <a:avLst/>
                    </a:prstGeom>
                  </pic:spPr>
                </pic:pic>
              </a:graphicData>
            </a:graphic>
          </wp:inline>
        </w:drawing>
      </w:r>
      <w:r>
        <w:rPr>
          <w:rFonts w:hint="eastAsia" w:ascii="微软雅黑" w:hAnsi="微软雅黑" w:eastAsia="微软雅黑" w:cs="微软雅黑"/>
          <w:color w:val="B72024"/>
          <w:sz w:val="20"/>
          <w:szCs w:val="20"/>
          <w:lang w:bidi="ar"/>
        </w:rPr>
        <w:t xml:space="preserve"> </w:t>
      </w:r>
      <w:r>
        <w:rPr>
          <w:rFonts w:hint="eastAsia" w:ascii="微软雅黑" w:hAnsi="微软雅黑" w:eastAsia="微软雅黑" w:cs="微软雅黑"/>
          <w:color w:val="000000"/>
          <w:sz w:val="20"/>
          <w:szCs w:val="20"/>
          <w:lang w:eastAsia="zh-CN" w:bidi="ar"/>
        </w:rPr>
        <w:drawing>
          <wp:inline distT="0" distB="0" distL="114300" distR="114300">
            <wp:extent cx="2518410" cy="1998345"/>
            <wp:effectExtent l="0" t="0" r="15240" b="1905"/>
            <wp:docPr id="22" name="图片 22" descr="生态农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态农场1"/>
                    <pic:cNvPicPr>
                      <a:picLocks noChangeAspect="1"/>
                    </pic:cNvPicPr>
                  </pic:nvPicPr>
                  <pic:blipFill>
                    <a:blip r:embed="rId7"/>
                    <a:stretch>
                      <a:fillRect/>
                    </a:stretch>
                  </pic:blipFill>
                  <pic:spPr>
                    <a:xfrm>
                      <a:off x="0" y="0"/>
                      <a:ext cx="2518410" cy="1998345"/>
                    </a:xfrm>
                    <a:prstGeom prst="rect">
                      <a:avLst/>
                    </a:prstGeom>
                  </pic:spPr>
                </pic:pic>
              </a:graphicData>
            </a:graphic>
          </wp:inline>
        </w:drawing>
      </w:r>
    </w:p>
    <w:p w14:paraId="21B8D0A5">
      <w:pPr>
        <w:spacing w:line="360" w:lineRule="auto"/>
        <w:rPr>
          <w:rFonts w:hint="eastAsia" w:ascii="微软雅黑" w:hAnsi="微软雅黑" w:eastAsia="微软雅黑" w:cs="微软雅黑"/>
          <w:b/>
          <w:bCs/>
          <w:color w:val="auto"/>
          <w:lang w:bidi="ar"/>
        </w:rPr>
      </w:pPr>
    </w:p>
    <w:p w14:paraId="696C0676">
      <w:pPr>
        <w:spacing w:line="360" w:lineRule="auto"/>
        <w:rPr>
          <w:rFonts w:hint="eastAsia" w:ascii="微软雅黑" w:hAnsi="微软雅黑" w:eastAsia="微软雅黑" w:cs="微软雅黑"/>
          <w:color w:val="auto"/>
          <w:lang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color w:val="auto"/>
          <w:sz w:val="21"/>
          <w:szCs w:val="21"/>
          <w:lang w:val="en-US" w:eastAsia="zh-CN" w:bidi="ar"/>
        </w:rPr>
        <w:t>7</w:t>
      </w:r>
      <w:r>
        <w:rPr>
          <w:rFonts w:hint="eastAsia" w:ascii="微软雅黑" w:hAnsi="微软雅黑" w:eastAsia="微软雅黑" w:cs="微软雅黑"/>
          <w:color w:val="auto"/>
          <w:sz w:val="21"/>
          <w:szCs w:val="21"/>
          <w:lang w:bidi="ar"/>
        </w:rPr>
        <w:t>天</w:t>
      </w:r>
    </w:p>
    <w:p w14:paraId="62D01BF5">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color w:val="auto"/>
          <w:sz w:val="21"/>
          <w:szCs w:val="21"/>
          <w:lang w:val="en-US" w:eastAsia="zh-CN" w:bidi="ar"/>
        </w:rPr>
        <w:t>2025年7月20日-7月26日（根据各高校放假时间，起止日期可能会出现1-3天的调整）</w:t>
      </w:r>
    </w:p>
    <w:p w14:paraId="7C9EC81A">
      <w:pPr>
        <w:spacing w:line="360" w:lineRule="auto"/>
        <w:rPr>
          <w:rFonts w:hint="eastAsia" w:ascii="微软雅黑" w:hAnsi="微软雅黑" w:eastAsia="微软雅黑" w:cs="微软雅黑"/>
          <w:color w:val="auto"/>
          <w:lang w:val="en-US" w:eastAsia="zh-CN" w:bidi="ar"/>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color w:val="auto"/>
          <w:sz w:val="21"/>
          <w:szCs w:val="21"/>
          <w:lang w:bidi="ar"/>
        </w:rPr>
        <w:t>新加坡</w:t>
      </w:r>
    </w:p>
    <w:p w14:paraId="29A98B78">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bidi="ar"/>
        </w:rPr>
        <w:t>项目收获:</w:t>
      </w:r>
    </w:p>
    <w:p w14:paraId="7FBFF19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eastAsia="zh-CN" w:bidi="ar"/>
        </w:rPr>
      </w:pPr>
      <w:r>
        <w:rPr>
          <w:rFonts w:hint="eastAsia" w:ascii="微软雅黑" w:hAnsi="微软雅黑" w:eastAsia="微软雅黑" w:cs="微软雅黑"/>
          <w:color w:val="000000"/>
          <w:sz w:val="21"/>
          <w:szCs w:val="21"/>
          <w:lang w:bidi="ar"/>
        </w:rPr>
        <w:t>提升对文化差异的适应能力；改变学生的思维方式和习惯；</w:t>
      </w:r>
      <w:r>
        <w:rPr>
          <w:rFonts w:hint="eastAsia" w:ascii="微软雅黑" w:hAnsi="微软雅黑" w:eastAsia="微软雅黑" w:cs="微软雅黑"/>
          <w:color w:val="000000"/>
          <w:sz w:val="21"/>
          <w:szCs w:val="21"/>
          <w:lang w:val="en-US" w:eastAsia="zh-CN" w:bidi="ar"/>
        </w:rPr>
        <w:t>体验知名企业的工作环境、流程和氛围</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提升英语沟通及实际学习、工作和生活中的应用能力；开拓国际视野、丰富自己的人生阅历、建立对未来择业、择校的</w:t>
      </w:r>
      <w:r>
        <w:rPr>
          <w:rFonts w:hint="eastAsia" w:ascii="微软雅黑" w:hAnsi="微软雅黑" w:eastAsia="微软雅黑" w:cs="微软雅黑"/>
          <w:color w:val="000000"/>
          <w:sz w:val="21"/>
          <w:szCs w:val="21"/>
          <w:lang w:val="en-US" w:eastAsia="zh-CN" w:bidi="ar"/>
        </w:rPr>
        <w:t>初步规划</w:t>
      </w:r>
      <w:r>
        <w:rPr>
          <w:rFonts w:hint="eastAsia" w:ascii="微软雅黑" w:hAnsi="微软雅黑" w:eastAsia="微软雅黑" w:cs="微软雅黑"/>
          <w:color w:val="000000"/>
          <w:sz w:val="21"/>
          <w:szCs w:val="21"/>
          <w:lang w:eastAsia="zh-CN" w:bidi="ar"/>
        </w:rPr>
        <w:t>。</w:t>
      </w: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bidi="ar"/>
        </w:rPr>
        <w:t>证书收获：</w:t>
      </w:r>
    </w:p>
    <w:p w14:paraId="65D3C23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eastAsia="zh-CN" w:bidi="ar"/>
        </w:rPr>
      </w:pPr>
      <w:r>
        <w:rPr>
          <w:rFonts w:hint="eastAsia" w:ascii="微软雅黑" w:hAnsi="微软雅黑" w:eastAsia="微软雅黑" w:cs="微软雅黑"/>
          <w:color w:val="000000"/>
          <w:sz w:val="21"/>
          <w:szCs w:val="21"/>
          <w:lang w:val="en-US" w:eastAsia="zh-CN" w:bidi="ar"/>
        </w:rPr>
        <w:t>SUSS</w:t>
      </w:r>
      <w:r>
        <w:rPr>
          <w:rFonts w:hint="eastAsia" w:ascii="微软雅黑" w:hAnsi="微软雅黑" w:eastAsia="微软雅黑" w:cs="微软雅黑"/>
          <w:color w:val="000000"/>
          <w:sz w:val="21"/>
          <w:szCs w:val="21"/>
          <w:lang w:bidi="ar"/>
        </w:rPr>
        <w:t>证书</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i w:val="0"/>
          <w:iCs w:val="0"/>
          <w:snapToGrid w:val="0"/>
          <w:color w:val="000000"/>
          <w:kern w:val="0"/>
          <w:sz w:val="22"/>
          <w:szCs w:val="22"/>
          <w:u w:val="none"/>
          <w:lang w:val="en-US" w:eastAsia="zh-CN" w:bidi="ar"/>
        </w:rPr>
        <w:t>Reference letter（SUSS）、</w:t>
      </w:r>
      <w:r>
        <w:rPr>
          <w:rFonts w:hint="eastAsia" w:ascii="微软雅黑" w:hAnsi="微软雅黑" w:eastAsia="微软雅黑" w:cs="微软雅黑"/>
          <w:color w:val="000000"/>
          <w:sz w:val="21"/>
          <w:szCs w:val="21"/>
          <w:lang w:val="en-US" w:eastAsia="zh-CN" w:bidi="ar"/>
        </w:rPr>
        <w:t>新加坡名校海外创新创业实训项目证书</w:t>
      </w:r>
    </w:p>
    <w:p w14:paraId="3099E7E4">
      <w:pPr>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347470" cy="1901190"/>
            <wp:effectExtent l="0" t="0" r="5080" b="3810"/>
            <wp:docPr id="19" name="图片 19" descr="174054624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0546247214"/>
                    <pic:cNvPicPr>
                      <a:picLocks noChangeAspect="1"/>
                    </pic:cNvPicPr>
                  </pic:nvPicPr>
                  <pic:blipFill>
                    <a:blip r:embed="rId8"/>
                    <a:stretch>
                      <a:fillRect/>
                    </a:stretch>
                  </pic:blipFill>
                  <pic:spPr>
                    <a:xfrm>
                      <a:off x="0" y="0"/>
                      <a:ext cx="1347470" cy="190119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312545" cy="1887220"/>
            <wp:effectExtent l="0" t="0" r="1905" b="17780"/>
            <wp:docPr id="7" name="图片 7" descr="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证书1"/>
                    <pic:cNvPicPr>
                      <a:picLocks noChangeAspect="1"/>
                    </pic:cNvPicPr>
                  </pic:nvPicPr>
                  <pic:blipFill>
                    <a:blip r:embed="rId9"/>
                    <a:stretch>
                      <a:fillRect/>
                    </a:stretch>
                  </pic:blipFill>
                  <pic:spPr>
                    <a:xfrm>
                      <a:off x="0" y="0"/>
                      <a:ext cx="1312545" cy="1887220"/>
                    </a:xfrm>
                    <a:prstGeom prst="rect">
                      <a:avLst/>
                    </a:prstGeom>
                  </pic:spPr>
                </pic:pic>
              </a:graphicData>
            </a:graphic>
          </wp:inline>
        </w:drawing>
      </w:r>
      <w:r>
        <w:rPr>
          <w:rFonts w:hint="eastAsia"/>
          <w:lang w:val="en-US" w:eastAsia="zh-CN"/>
        </w:rPr>
        <w:t xml:space="preserve"> </w:t>
      </w:r>
    </w:p>
    <w:p w14:paraId="1B04E2E6">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团组人数：</w:t>
      </w:r>
      <w:r>
        <w:rPr>
          <w:rFonts w:hint="eastAsia" w:ascii="微软雅黑" w:hAnsi="微软雅黑" w:eastAsia="微软雅黑" w:cs="微软雅黑"/>
          <w:b w:val="0"/>
          <w:bCs w:val="0"/>
          <w:color w:val="auto"/>
          <w:sz w:val="21"/>
          <w:szCs w:val="21"/>
          <w:lang w:val="en-US" w:eastAsia="zh-CN" w:bidi="ar"/>
        </w:rPr>
        <w:t>35-40人</w:t>
      </w:r>
    </w:p>
    <w:p w14:paraId="7FAA7BE4">
      <w:pPr>
        <w:spacing w:line="360" w:lineRule="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auto"/>
          <w:lang w:bidi="ar"/>
        </w:rPr>
        <w:t>项目费用：</w:t>
      </w:r>
      <w:r>
        <w:rPr>
          <w:rFonts w:hint="eastAsia" w:ascii="微软雅黑" w:hAnsi="微软雅黑" w:eastAsia="微软雅黑" w:cs="微软雅黑"/>
          <w:color w:val="000000"/>
          <w:sz w:val="21"/>
          <w:szCs w:val="21"/>
          <w:lang w:val="en-US" w:eastAsia="zh-CN" w:bidi="ar"/>
        </w:rPr>
        <w:t>9,800元人民币/人</w:t>
      </w:r>
    </w:p>
    <w:p w14:paraId="2383689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费用包含：</w:t>
      </w:r>
      <w:r>
        <w:rPr>
          <w:rFonts w:hint="eastAsia" w:ascii="微软雅黑" w:hAnsi="微软雅黑" w:eastAsia="微软雅黑" w:cs="微软雅黑"/>
          <w:color w:val="000000"/>
          <w:sz w:val="21"/>
          <w:szCs w:val="21"/>
          <w:lang w:val="en-US" w:eastAsia="zh-CN" w:bidi="ar"/>
        </w:rPr>
        <w:t>项目期间住宿费（含早）、项目期间统一行程内的交通费、保险费、企业参访费、嘉宾讲座、场地、教材等费用。</w:t>
      </w:r>
    </w:p>
    <w:p w14:paraId="44341FE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费用不含：</w:t>
      </w:r>
      <w:r>
        <w:rPr>
          <w:rFonts w:hint="eastAsia" w:ascii="微软雅黑" w:hAnsi="微软雅黑" w:eastAsia="微软雅黑" w:cs="微软雅黑"/>
          <w:color w:val="000000"/>
          <w:sz w:val="21"/>
          <w:szCs w:val="21"/>
          <w:lang w:val="en-US" w:eastAsia="zh-CN" w:bidi="ar"/>
        </w:rPr>
        <w:t>中新往返机票、午晚餐费、项目期间因个人需求消费产生的所有费用。</w:t>
      </w:r>
    </w:p>
    <w:p w14:paraId="2FB5FE8C">
      <w:pPr>
        <w:rPr>
          <w:rFonts w:hint="eastAsia"/>
        </w:rPr>
      </w:pPr>
    </w:p>
    <w:p w14:paraId="5DF907FB">
      <w:pPr>
        <w:rPr>
          <w:rFonts w:hint="eastAsia"/>
        </w:rPr>
      </w:pPr>
    </w:p>
    <w:p w14:paraId="2B3A64C8">
      <w:pPr>
        <w:rPr>
          <w:rFonts w:hint="eastAsia"/>
        </w:rPr>
      </w:pPr>
    </w:p>
    <w:p w14:paraId="7ABD154D">
      <w:pPr>
        <w:rPr>
          <w:rFonts w:hint="eastAsia"/>
        </w:rPr>
      </w:pPr>
    </w:p>
    <w:p w14:paraId="771A8D3B">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332C2B"/>
          <w:sz w:val="21"/>
          <w:szCs w:val="21"/>
          <w:lang w:bidi="ar"/>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等客观因素影响，部分参访企业和分享嘉宾可能会出现调整或变动，但不会减少参访企业的数量和降低参访企业的质量及分享嘉宾的资质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行程以最终版本为主）</w:t>
      </w:r>
    </w:p>
    <w:p w14:paraId="7571B8F0">
      <w:pPr>
        <w:rPr>
          <w:rFonts w:hint="eastAsia"/>
          <w:lang w:val="en-US" w:eastAsia="zh-CN"/>
        </w:rPr>
      </w:pPr>
    </w:p>
    <w:tbl>
      <w:tblPr>
        <w:tblStyle w:val="7"/>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740"/>
        <w:gridCol w:w="1830"/>
        <w:gridCol w:w="3649"/>
      </w:tblGrid>
      <w:tr w14:paraId="551F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6" w:type="dxa"/>
            <w:gridSpan w:val="4"/>
            <w:vAlign w:val="center"/>
          </w:tcPr>
          <w:p w14:paraId="6572DC5C">
            <w:pPr>
              <w:widowControl w:val="0"/>
              <w:jc w:val="center"/>
              <w:rPr>
                <w:rFonts w:hint="default" w:ascii="微软雅黑" w:hAnsi="微软雅黑" w:eastAsia="微软雅黑" w:cs="微软雅黑"/>
                <w:b/>
                <w:color w:val="000000"/>
                <w:sz w:val="28"/>
                <w:szCs w:val="28"/>
                <w:lang w:val="en-US" w:bidi="ar"/>
              </w:rPr>
            </w:pPr>
            <w:r>
              <w:rPr>
                <w:rFonts w:hint="eastAsia" w:ascii="微软雅黑" w:hAnsi="微软雅黑" w:eastAsia="微软雅黑" w:cs="微软雅黑"/>
                <w:b/>
                <w:bCs/>
                <w:i w:val="0"/>
                <w:iCs w:val="0"/>
                <w:snapToGrid w:val="0"/>
                <w:color w:val="000000"/>
                <w:kern w:val="0"/>
                <w:sz w:val="24"/>
                <w:szCs w:val="24"/>
                <w:u w:val="none"/>
                <w:lang w:val="en-US" w:eastAsia="zh-CN" w:bidi="ar"/>
              </w:rPr>
              <w:t>2025年暑期</w:t>
            </w:r>
            <w:r>
              <w:rPr>
                <w:rFonts w:hint="eastAsia" w:ascii="微软雅黑" w:hAnsi="微软雅黑" w:eastAsia="微软雅黑" w:cs="微软雅黑"/>
                <w:b/>
                <w:bCs/>
                <w:color w:val="000000"/>
                <w:sz w:val="24"/>
                <w:szCs w:val="24"/>
                <w:lang w:val="en-US" w:eastAsia="zh-CN" w:bidi="ar"/>
              </w:rPr>
              <w:t>新加坡名校海外创新创业实训项目行程示例（7天）</w:t>
            </w:r>
          </w:p>
        </w:tc>
      </w:tr>
      <w:tr w14:paraId="1FDB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17" w:type="dxa"/>
            <w:vAlign w:val="center"/>
          </w:tcPr>
          <w:p w14:paraId="1F857204">
            <w:pPr>
              <w:widowControl w:val="0"/>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000000"/>
                <w:lang w:bidi="ar"/>
              </w:rPr>
              <w:t>日期</w:t>
            </w:r>
          </w:p>
        </w:tc>
        <w:tc>
          <w:tcPr>
            <w:tcW w:w="1740" w:type="dxa"/>
            <w:vAlign w:val="center"/>
          </w:tcPr>
          <w:p w14:paraId="3F598929">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企业名称</w:t>
            </w:r>
          </w:p>
        </w:tc>
        <w:tc>
          <w:tcPr>
            <w:tcW w:w="1830" w:type="dxa"/>
            <w:vAlign w:val="center"/>
          </w:tcPr>
          <w:p w14:paraId="1808F694">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参访学习导师</w:t>
            </w:r>
          </w:p>
        </w:tc>
        <w:tc>
          <w:tcPr>
            <w:tcW w:w="3649" w:type="dxa"/>
            <w:vAlign w:val="center"/>
          </w:tcPr>
          <w:p w14:paraId="5911541D">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参访学习主题</w:t>
            </w:r>
          </w:p>
        </w:tc>
      </w:tr>
      <w:tr w14:paraId="3749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17" w:type="dxa"/>
            <w:vAlign w:val="center"/>
          </w:tcPr>
          <w:p w14:paraId="48F46E81">
            <w:pPr>
              <w:widowControl w:val="0"/>
              <w:spacing w:line="240" w:lineRule="auto"/>
              <w:jc w:val="center"/>
              <w:textAlignment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第1天</w:t>
            </w:r>
          </w:p>
        </w:tc>
        <w:tc>
          <w:tcPr>
            <w:tcW w:w="7219" w:type="dxa"/>
            <w:gridSpan w:val="3"/>
            <w:vAlign w:val="center"/>
          </w:tcPr>
          <w:p w14:paraId="2C073DF5">
            <w:pPr>
              <w:widowControl w:val="0"/>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出发赴新加坡，抵达新加坡</w:t>
            </w:r>
          </w:p>
        </w:tc>
      </w:tr>
      <w:tr w14:paraId="1AC0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1017" w:type="dxa"/>
            <w:vMerge w:val="restart"/>
            <w:vAlign w:val="center"/>
          </w:tcPr>
          <w:p w14:paraId="79005C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天</w:t>
            </w:r>
          </w:p>
        </w:tc>
        <w:tc>
          <w:tcPr>
            <w:tcW w:w="1740" w:type="dxa"/>
            <w:vAlign w:val="center"/>
          </w:tcPr>
          <w:p w14:paraId="023CBD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创新创业课程</w:t>
            </w:r>
          </w:p>
        </w:tc>
        <w:tc>
          <w:tcPr>
            <w:tcW w:w="1830" w:type="dxa"/>
            <w:vAlign w:val="center"/>
          </w:tcPr>
          <w:p w14:paraId="39CB65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Singtis私人有限公司创始人兼首席执行官</w:t>
            </w:r>
          </w:p>
          <w:p w14:paraId="570408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——张凤志</w:t>
            </w:r>
          </w:p>
        </w:tc>
        <w:tc>
          <w:tcPr>
            <w:tcW w:w="3649" w:type="dxa"/>
            <w:vAlign w:val="center"/>
          </w:tcPr>
          <w:p w14:paraId="5296E5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1"/>
                <w:szCs w:val="21"/>
                <w:vertAlign w:val="baseline"/>
                <w:lang w:eastAsia="zh-CN"/>
              </w:rPr>
            </w:pPr>
            <w:r>
              <w:rPr>
                <w:rFonts w:hint="eastAsia" w:ascii="微软雅黑" w:hAnsi="微软雅黑" w:eastAsia="微软雅黑" w:cs="微软雅黑"/>
                <w:b/>
                <w:bCs/>
                <w:sz w:val="21"/>
                <w:szCs w:val="21"/>
                <w:vertAlign w:val="baseline"/>
              </w:rPr>
              <w:t>课程主题</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一</w:t>
            </w:r>
            <w:r>
              <w:rPr>
                <w:rFonts w:hint="eastAsia" w:ascii="微软雅黑" w:hAnsi="微软雅黑" w:eastAsia="微软雅黑" w:cs="微软雅黑"/>
                <w:b/>
                <w:bCs/>
                <w:sz w:val="21"/>
                <w:szCs w:val="21"/>
                <w:vertAlign w:val="baseline"/>
                <w:lang w:eastAsia="zh-CN"/>
              </w:rPr>
              <w:t>）</w:t>
            </w:r>
          </w:p>
          <w:p w14:paraId="4B2B02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企业全球化过程中的技术与商业模式的创新管理</w:t>
            </w:r>
          </w:p>
        </w:tc>
      </w:tr>
      <w:tr w14:paraId="0BD8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017" w:type="dxa"/>
            <w:vMerge w:val="continue"/>
            <w:vAlign w:val="center"/>
          </w:tcPr>
          <w:p w14:paraId="6D12B0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vAlign w:val="center"/>
          </w:tcPr>
          <w:p w14:paraId="630F9F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lang w:val="en-US" w:eastAsia="zh-CN"/>
              </w:rPr>
              <w:t>升学规划指导</w:t>
            </w:r>
          </w:p>
        </w:tc>
        <w:tc>
          <w:tcPr>
            <w:tcW w:w="1830" w:type="dxa"/>
            <w:vAlign w:val="center"/>
          </w:tcPr>
          <w:p w14:paraId="1B1ED8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color w:val="000000"/>
                <w:sz w:val="21"/>
                <w:szCs w:val="21"/>
                <w:lang w:val="en-US" w:eastAsia="zh-CN"/>
              </w:rPr>
              <w:t>新加坡升学规划指导</w:t>
            </w:r>
          </w:p>
        </w:tc>
        <w:tc>
          <w:tcPr>
            <w:tcW w:w="3649" w:type="dxa"/>
            <w:vAlign w:val="center"/>
          </w:tcPr>
          <w:p w14:paraId="54CA4F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b/>
                <w:bCs/>
                <w:color w:val="000000"/>
                <w:sz w:val="21"/>
                <w:szCs w:val="21"/>
                <w:lang w:val="en-US" w:eastAsia="zh-CN"/>
              </w:rPr>
              <w:t>新加坡升学分享</w:t>
            </w:r>
            <w:r>
              <w:rPr>
                <w:rFonts w:hint="eastAsia" w:ascii="微软雅黑" w:hAnsi="微软雅黑" w:eastAsia="微软雅黑" w:cs="微软雅黑"/>
                <w:color w:val="000000"/>
                <w:sz w:val="21"/>
                <w:szCs w:val="21"/>
                <w:lang w:val="en-US" w:eastAsia="zh-CN"/>
              </w:rPr>
              <w:br w:type="textWrapping"/>
            </w:r>
            <w:r>
              <w:rPr>
                <w:rFonts w:hint="eastAsia" w:ascii="微软雅黑" w:hAnsi="微软雅黑" w:eastAsia="微软雅黑" w:cs="微软雅黑"/>
                <w:color w:val="000000"/>
                <w:sz w:val="21"/>
                <w:szCs w:val="21"/>
                <w:lang w:val="en-US" w:eastAsia="zh-CN"/>
              </w:rPr>
              <w:t>参与者将获得新加坡升学的经验分享，提升海外升学成功率</w:t>
            </w:r>
          </w:p>
        </w:tc>
      </w:tr>
      <w:tr w14:paraId="2578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jc w:val="center"/>
        </w:trPr>
        <w:tc>
          <w:tcPr>
            <w:tcW w:w="1017" w:type="dxa"/>
            <w:vMerge w:val="restart"/>
            <w:vAlign w:val="center"/>
          </w:tcPr>
          <w:p w14:paraId="1B9706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天</w:t>
            </w:r>
          </w:p>
        </w:tc>
        <w:tc>
          <w:tcPr>
            <w:tcW w:w="1740" w:type="dxa"/>
            <w:vAlign w:val="center"/>
          </w:tcPr>
          <w:p w14:paraId="6BF46C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智慧城市课程</w:t>
            </w:r>
          </w:p>
        </w:tc>
        <w:tc>
          <w:tcPr>
            <w:tcW w:w="1830" w:type="dxa"/>
            <w:vAlign w:val="center"/>
          </w:tcPr>
          <w:p w14:paraId="02E5B8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私人有限公司 新业务与特别项目高级总监</w:t>
            </w:r>
          </w:p>
          <w:p w14:paraId="0B7639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vertAlign w:val="baseline"/>
              </w:rPr>
              <w:t>——Carol</w:t>
            </w: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sz w:val="21"/>
                <w:szCs w:val="21"/>
                <w:vertAlign w:val="baseline"/>
              </w:rPr>
              <w:t xml:space="preserve">Zhang Surbana Jurong </w:t>
            </w:r>
          </w:p>
        </w:tc>
        <w:tc>
          <w:tcPr>
            <w:tcW w:w="3649" w:type="dxa"/>
            <w:vAlign w:val="center"/>
          </w:tcPr>
          <w:p w14:paraId="51CFD4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课程主题（二）：智慧城市</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Topic：Smart City</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参与者将了解智慧城市的概念、重要性及发展进程和未来趋势。从而了解行业的发展方向并对未来职业规划有更多的思路。</w:t>
            </w:r>
          </w:p>
        </w:tc>
      </w:tr>
      <w:tr w14:paraId="2A23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jc w:val="center"/>
        </w:trPr>
        <w:tc>
          <w:tcPr>
            <w:tcW w:w="1017" w:type="dxa"/>
            <w:vMerge w:val="continue"/>
            <w:vAlign w:val="center"/>
          </w:tcPr>
          <w:p w14:paraId="5E666D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6C7FB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参访</w:t>
            </w:r>
          </w:p>
        </w:tc>
        <w:tc>
          <w:tcPr>
            <w:tcW w:w="1830" w:type="dxa"/>
            <w:shd w:val="clear" w:color="auto" w:fill="auto"/>
            <w:vAlign w:val="center"/>
          </w:tcPr>
          <w:p w14:paraId="0CE7C4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URA</w:t>
            </w:r>
            <w:r>
              <w:rPr>
                <w:rFonts w:hint="eastAsia" w:ascii="微软雅黑" w:hAnsi="微软雅黑" w:eastAsia="微软雅黑" w:cs="微软雅黑"/>
                <w:color w:val="000000"/>
                <w:sz w:val="21"/>
                <w:szCs w:val="21"/>
              </w:rPr>
              <w:t>工作人员</w:t>
            </w:r>
          </w:p>
        </w:tc>
        <w:tc>
          <w:tcPr>
            <w:tcW w:w="3649" w:type="dxa"/>
            <w:shd w:val="clear" w:color="auto" w:fill="auto"/>
            <w:vAlign w:val="center"/>
          </w:tcPr>
          <w:p w14:paraId="5F4172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走进名企主题（一）</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 xml:space="preserve">Visit：URA </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市区重建局(URA)是新加坡政府下属的法定机构，负责领导新加坡的城市规划、发展和保护工作。城市展览馆一共有三个楼层的展览空间，来展现新加坡的过去，现在和未来。</w:t>
            </w:r>
          </w:p>
        </w:tc>
      </w:tr>
      <w:tr w14:paraId="257E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1017" w:type="dxa"/>
            <w:vMerge w:val="restart"/>
            <w:vAlign w:val="center"/>
          </w:tcPr>
          <w:p w14:paraId="09B8CC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27F07A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生态农场</w:t>
            </w:r>
          </w:p>
          <w:p w14:paraId="6AA5B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参访</w:t>
            </w:r>
          </w:p>
        </w:tc>
        <w:tc>
          <w:tcPr>
            <w:tcW w:w="1830" w:type="dxa"/>
            <w:shd w:val="clear" w:color="auto" w:fill="auto"/>
            <w:vAlign w:val="center"/>
          </w:tcPr>
          <w:p w14:paraId="08BE93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Nutrious Farms</w:t>
            </w:r>
          </w:p>
          <w:p w14:paraId="655495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创始人</w:t>
            </w:r>
          </w:p>
          <w:p w14:paraId="6BED7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——Damien Lam</w:t>
            </w:r>
          </w:p>
        </w:tc>
        <w:tc>
          <w:tcPr>
            <w:tcW w:w="3649" w:type="dxa"/>
            <w:shd w:val="clear" w:color="auto" w:fill="auto"/>
            <w:vAlign w:val="center"/>
          </w:tcPr>
          <w:p w14:paraId="496537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走进名企主题（二）</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Visit：现代农场 Urban Farm</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学生示范性项目—SUSS现代农场及食品安全的创新发展</w:t>
            </w:r>
          </w:p>
        </w:tc>
      </w:tr>
      <w:tr w14:paraId="64D1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1017" w:type="dxa"/>
            <w:vMerge w:val="continue"/>
            <w:vAlign w:val="center"/>
          </w:tcPr>
          <w:p w14:paraId="6EF64C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rPr>
            </w:pPr>
          </w:p>
        </w:tc>
        <w:tc>
          <w:tcPr>
            <w:tcW w:w="1740" w:type="dxa"/>
            <w:shd w:val="clear" w:color="auto" w:fill="auto"/>
            <w:vAlign w:val="center"/>
          </w:tcPr>
          <w:p w14:paraId="36D849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55738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参访</w:t>
            </w:r>
          </w:p>
        </w:tc>
        <w:tc>
          <w:tcPr>
            <w:tcW w:w="1830" w:type="dxa"/>
            <w:shd w:val="clear" w:color="auto" w:fill="auto"/>
            <w:vAlign w:val="center"/>
          </w:tcPr>
          <w:p w14:paraId="4AEEEA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Weston Robot</w:t>
            </w:r>
          </w:p>
          <w:p w14:paraId="42C4A7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技术工作人员</w:t>
            </w:r>
          </w:p>
        </w:tc>
        <w:tc>
          <w:tcPr>
            <w:tcW w:w="3649" w:type="dxa"/>
            <w:shd w:val="clear" w:color="auto" w:fill="auto"/>
            <w:vAlign w:val="center"/>
          </w:tcPr>
          <w:p w14:paraId="17BB77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走进名企主题（三）</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Visit：Weston Robot</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由新加坡国立大学教授与研究员创办的机器人公司，专门为设施管理、公用事业和运输等各行各业开发自主机器人解决方案。此次参访将了解Weston Robot的业务范围，主要产品，业务范围并体验其示范性机器人产品。</w:t>
            </w:r>
          </w:p>
        </w:tc>
      </w:tr>
      <w:tr w14:paraId="633C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1017" w:type="dxa"/>
            <w:vMerge w:val="continue"/>
            <w:vAlign w:val="center"/>
          </w:tcPr>
          <w:p w14:paraId="36574C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796664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新加坡国立大学</w:t>
            </w:r>
          </w:p>
          <w:p w14:paraId="2BDE2E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参访</w:t>
            </w:r>
          </w:p>
          <w:p w14:paraId="265C58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新加坡文化体验活动</w:t>
            </w:r>
          </w:p>
        </w:tc>
        <w:tc>
          <w:tcPr>
            <w:tcW w:w="1830" w:type="dxa"/>
            <w:shd w:val="clear" w:color="auto" w:fill="auto"/>
            <w:vAlign w:val="center"/>
          </w:tcPr>
          <w:p w14:paraId="5A79CC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新加坡国立大学</w:t>
            </w:r>
          </w:p>
        </w:tc>
        <w:tc>
          <w:tcPr>
            <w:tcW w:w="3649" w:type="dxa"/>
            <w:shd w:val="clear" w:color="auto" w:fill="auto"/>
            <w:vAlign w:val="center"/>
          </w:tcPr>
          <w:p w14:paraId="4E0DBA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走进名校：新加坡国立大学 NUS</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体验名校文化、感受名校氛围</w:t>
            </w:r>
          </w:p>
          <w:p w14:paraId="59D687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i w:val="0"/>
                <w:iCs w:val="0"/>
                <w:snapToGrid w:val="0"/>
                <w:color w:val="000000"/>
                <w:kern w:val="0"/>
                <w:sz w:val="21"/>
                <w:szCs w:val="21"/>
                <w:u w:val="none"/>
                <w:lang w:val="en-US" w:eastAsia="zh-CN" w:bidi="ar"/>
              </w:rPr>
              <w:t>深入了解南洋文化</w:t>
            </w:r>
          </w:p>
        </w:tc>
      </w:tr>
      <w:tr w14:paraId="5955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atLeast"/>
          <w:jc w:val="center"/>
        </w:trPr>
        <w:tc>
          <w:tcPr>
            <w:tcW w:w="1017" w:type="dxa"/>
            <w:vMerge w:val="restart"/>
            <w:vAlign w:val="center"/>
          </w:tcPr>
          <w:p w14:paraId="0082DE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68390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互联网产品课程</w:t>
            </w:r>
          </w:p>
        </w:tc>
        <w:tc>
          <w:tcPr>
            <w:tcW w:w="1830" w:type="dxa"/>
            <w:shd w:val="clear" w:color="auto" w:fill="auto"/>
            <w:vAlign w:val="center"/>
          </w:tcPr>
          <w:p w14:paraId="42B00D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谷歌亚太区信任与安全项目管理负责人</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——Julia Li</w:t>
            </w:r>
          </w:p>
        </w:tc>
        <w:tc>
          <w:tcPr>
            <w:tcW w:w="3649" w:type="dxa"/>
            <w:shd w:val="clear" w:color="auto" w:fill="auto"/>
            <w:vAlign w:val="center"/>
          </w:tcPr>
          <w:p w14:paraId="7FCB9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课程主题（三）：AI应用前景与未来就业</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Topic：AI application and future career</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参与者将了解当前AI技术的发展，应用，以及对未来就业的影响，从而对该技术有更深入的了解和理性思考。</w:t>
            </w:r>
          </w:p>
        </w:tc>
      </w:tr>
      <w:tr w14:paraId="447B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1017" w:type="dxa"/>
            <w:vMerge w:val="continue"/>
            <w:vAlign w:val="center"/>
          </w:tcPr>
          <w:p w14:paraId="7BAC5B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5CC991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snapToGrid w:val="0"/>
                <w:color w:val="000000"/>
                <w:sz w:val="21"/>
                <w:szCs w:val="21"/>
                <w:lang w:bidi="ar"/>
              </w:rPr>
              <w:t>圆桌会议/案例分析</w:t>
            </w:r>
          </w:p>
        </w:tc>
        <w:tc>
          <w:tcPr>
            <w:tcW w:w="1830" w:type="dxa"/>
            <w:shd w:val="clear" w:color="auto" w:fill="auto"/>
            <w:vAlign w:val="center"/>
          </w:tcPr>
          <w:p w14:paraId="4BDEF6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snapToGrid w:val="0"/>
                <w:color w:val="000000"/>
                <w:sz w:val="21"/>
                <w:szCs w:val="21"/>
                <w:lang w:bidi="ar"/>
              </w:rPr>
              <w:t>谷歌亚太区信任与安全项目管理负责人</w:t>
            </w:r>
            <w:r>
              <w:rPr>
                <w:rFonts w:hint="eastAsia" w:ascii="微软雅黑" w:hAnsi="微软雅黑" w:eastAsia="微软雅黑" w:cs="微软雅黑"/>
                <w:snapToGrid w:val="0"/>
                <w:color w:val="000000"/>
                <w:sz w:val="21"/>
                <w:szCs w:val="21"/>
                <w:lang w:bidi="ar"/>
              </w:rPr>
              <w:br w:type="textWrapping"/>
            </w:r>
            <w:r>
              <w:rPr>
                <w:rFonts w:hint="eastAsia" w:ascii="微软雅黑" w:hAnsi="微软雅黑" w:eastAsia="微软雅黑" w:cs="微软雅黑"/>
                <w:snapToGrid w:val="0"/>
                <w:color w:val="000000"/>
                <w:sz w:val="21"/>
                <w:szCs w:val="21"/>
                <w:lang w:bidi="ar"/>
              </w:rPr>
              <w:t>——Julia Li</w:t>
            </w:r>
          </w:p>
        </w:tc>
        <w:tc>
          <w:tcPr>
            <w:tcW w:w="3649" w:type="dxa"/>
            <w:shd w:val="clear" w:color="auto" w:fill="auto"/>
            <w:vAlign w:val="center"/>
          </w:tcPr>
          <w:p w14:paraId="79658F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snapToGrid w:val="0"/>
                <w:color w:val="000000"/>
                <w:sz w:val="21"/>
                <w:szCs w:val="21"/>
                <w:lang w:bidi="ar"/>
              </w:rPr>
              <w:t>模拟职场：AI产品推广与升级</w:t>
            </w:r>
            <w:r>
              <w:rPr>
                <w:rFonts w:hint="eastAsia" w:ascii="微软雅黑" w:hAnsi="微软雅黑" w:eastAsia="微软雅黑" w:cs="微软雅黑"/>
                <w:snapToGrid w:val="0"/>
                <w:color w:val="000000"/>
                <w:sz w:val="21"/>
                <w:szCs w:val="21"/>
                <w:lang w:bidi="ar"/>
              </w:rPr>
              <w:br w:type="textWrapping"/>
            </w:r>
            <w:r>
              <w:rPr>
                <w:rFonts w:hint="eastAsia" w:ascii="微软雅黑" w:hAnsi="微软雅黑" w:eastAsia="微软雅黑" w:cs="微软雅黑"/>
                <w:snapToGrid w:val="0"/>
                <w:color w:val="000000"/>
                <w:sz w:val="21"/>
                <w:szCs w:val="21"/>
                <w:lang w:bidi="ar"/>
              </w:rPr>
              <w:t>参与者</w:t>
            </w:r>
            <w:r>
              <w:rPr>
                <w:rFonts w:ascii="微软雅黑" w:hAnsi="微软雅黑" w:eastAsia="微软雅黑" w:cs="微软雅黑"/>
                <w:snapToGrid w:val="0"/>
                <w:color w:val="000000"/>
                <w:sz w:val="21"/>
                <w:szCs w:val="21"/>
                <w:lang w:bidi="ar"/>
              </w:rPr>
              <w:t>将以团队形式，模拟企业团队，对AI产品进行市场推广策划，并根据用户反馈制定产品升级方案</w:t>
            </w:r>
            <w:r>
              <w:rPr>
                <w:rFonts w:hint="eastAsia" w:ascii="微软雅黑" w:hAnsi="微软雅黑" w:eastAsia="微软雅黑" w:cs="微软雅黑"/>
                <w:snapToGrid w:val="0"/>
                <w:color w:val="000000"/>
                <w:sz w:val="21"/>
                <w:szCs w:val="21"/>
                <w:lang w:bidi="ar"/>
              </w:rPr>
              <w:t>，了解在AI时代下相关行业对大学生的技能要求。</w:t>
            </w:r>
          </w:p>
        </w:tc>
      </w:tr>
      <w:tr w14:paraId="78D7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017" w:type="dxa"/>
            <w:vMerge w:val="restart"/>
            <w:vAlign w:val="center"/>
          </w:tcPr>
          <w:p w14:paraId="5A6372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天</w:t>
            </w:r>
          </w:p>
        </w:tc>
        <w:tc>
          <w:tcPr>
            <w:tcW w:w="1740" w:type="dxa"/>
            <w:shd w:val="clear" w:color="auto" w:fill="auto"/>
            <w:vAlign w:val="center"/>
          </w:tcPr>
          <w:p w14:paraId="492572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参访博弈理论课</w:t>
            </w:r>
          </w:p>
        </w:tc>
        <w:tc>
          <w:tcPr>
            <w:tcW w:w="1830" w:type="dxa"/>
            <w:shd w:val="clear" w:color="auto" w:fill="auto"/>
            <w:vAlign w:val="center"/>
          </w:tcPr>
          <w:p w14:paraId="6096B2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SUSS高级讲师</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—Dr Xu Weibiao</w:t>
            </w:r>
          </w:p>
        </w:tc>
        <w:tc>
          <w:tcPr>
            <w:tcW w:w="3649" w:type="dxa"/>
            <w:shd w:val="clear" w:color="auto" w:fill="auto"/>
            <w:vAlign w:val="center"/>
          </w:tcPr>
          <w:p w14:paraId="67F693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课程主题（四）</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Topic：博弈论 Game theory</w:t>
            </w:r>
          </w:p>
        </w:tc>
      </w:tr>
      <w:tr w14:paraId="28D5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017" w:type="dxa"/>
            <w:vMerge w:val="continue"/>
            <w:vAlign w:val="center"/>
          </w:tcPr>
          <w:p w14:paraId="2E60BE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1740" w:type="dxa"/>
            <w:shd w:val="clear" w:color="auto" w:fill="auto"/>
            <w:vAlign w:val="center"/>
          </w:tcPr>
          <w:p w14:paraId="3E3BF8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小组结营汇报</w:t>
            </w:r>
          </w:p>
        </w:tc>
        <w:tc>
          <w:tcPr>
            <w:tcW w:w="1830" w:type="dxa"/>
            <w:shd w:val="clear" w:color="auto" w:fill="auto"/>
            <w:vAlign w:val="center"/>
          </w:tcPr>
          <w:p w14:paraId="11BA15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上海赴外/新方学校代表</w:t>
            </w:r>
          </w:p>
        </w:tc>
        <w:tc>
          <w:tcPr>
            <w:tcW w:w="3649" w:type="dxa"/>
            <w:shd w:val="clear" w:color="auto" w:fill="auto"/>
            <w:vAlign w:val="center"/>
          </w:tcPr>
          <w:p w14:paraId="78F7E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snapToGrid w:val="0"/>
                <w:color w:val="000000"/>
                <w:kern w:val="0"/>
                <w:sz w:val="21"/>
                <w:szCs w:val="21"/>
                <w:u w:val="none"/>
                <w:lang w:val="en-US" w:eastAsia="zh-CN" w:bidi="ar"/>
              </w:rPr>
              <w:t>小组结营</w:t>
            </w:r>
          </w:p>
        </w:tc>
      </w:tr>
      <w:tr w14:paraId="2DC3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17" w:type="dxa"/>
            <w:vAlign w:val="center"/>
          </w:tcPr>
          <w:p w14:paraId="064E0716">
            <w:pPr>
              <w:widowControl w:val="0"/>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天</w:t>
            </w:r>
          </w:p>
        </w:tc>
        <w:tc>
          <w:tcPr>
            <w:tcW w:w="7219" w:type="dxa"/>
            <w:gridSpan w:val="3"/>
            <w:shd w:val="clear" w:color="auto" w:fill="auto"/>
            <w:vAlign w:val="center"/>
          </w:tcPr>
          <w:p w14:paraId="4A7B8A96">
            <w:pPr>
              <w:widowControl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抵达机场，返回中国</w:t>
            </w:r>
          </w:p>
        </w:tc>
      </w:tr>
    </w:tbl>
    <w:p w14:paraId="7BE395A5">
      <w:pPr>
        <w:spacing w:line="360" w:lineRule="auto"/>
        <w:rPr>
          <w:rFonts w:hint="eastAsia" w:ascii="微软雅黑" w:hAnsi="微软雅黑" w:eastAsia="微软雅黑" w:cs="微软雅黑"/>
          <w:color w:val="B72024"/>
          <w:lang w:val="en-US" w:eastAsia="zh-CN" w:bidi="ar"/>
        </w:rPr>
      </w:pPr>
    </w:p>
    <w:p w14:paraId="5AFBC4A2">
      <w:pPr>
        <w:rPr>
          <w:rFonts w:hint="eastAsia"/>
          <w:lang w:val="en-US" w:eastAsia="zh-CN"/>
        </w:rPr>
      </w:pPr>
    </w:p>
    <w:p w14:paraId="7BE30AD4">
      <w:pPr>
        <w:rPr>
          <w:rFonts w:hint="eastAsia"/>
          <w:lang w:val="en-US" w:eastAsia="zh-CN"/>
        </w:rPr>
      </w:pPr>
    </w:p>
    <w:p w14:paraId="309B5AB1">
      <w:pPr>
        <w:rPr>
          <w:rFonts w:hint="eastAsia"/>
          <w:lang w:val="en-US" w:eastAsia="zh-CN"/>
        </w:rPr>
      </w:pPr>
    </w:p>
    <w:p w14:paraId="7338C624">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新方学校</w:t>
      </w:r>
    </w:p>
    <w:p w14:paraId="6F277645">
      <w:pPr>
        <w:spacing w:line="360" w:lineRule="auto"/>
        <w:rPr>
          <w:rFonts w:hint="eastAsia" w:ascii="微软雅黑" w:hAnsi="微软雅黑" w:eastAsia="微软雅黑" w:cs="微软雅黑"/>
          <w:color w:val="B72024"/>
          <w:lang w:bidi="ar"/>
        </w:rPr>
      </w:pPr>
      <w:r>
        <w:rPr>
          <w:rFonts w:hint="eastAsia" w:ascii="微软雅黑" w:hAnsi="微软雅黑" w:eastAsia="微软雅黑" w:cs="微软雅黑"/>
          <w:b/>
          <w:bCs/>
          <w:color w:val="000000"/>
          <w:lang w:val="en-US" w:eastAsia="zh-CN" w:bidi="ar"/>
        </w:rPr>
        <w:t>新加坡国立大学</w:t>
      </w:r>
    </w:p>
    <w:p w14:paraId="70511740">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新加坡国立大学（National University of Singapore，简称国大或新国大、NUS）是</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"https://zh.wikipedia.org/wiki/%E6%96%B0%E5%8A%A0%E5%9D%A1" \o "新加坡"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新加坡</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的第一所</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"https://zh.wikipedia.org/wiki/%E5%A4%A7%E5%AD%A6" \o "大学"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高等学府</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，也是世界级顶尖学府，是一所共有16个学院的</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"https://zh.wikipedia.org/wiki/%E7%B6%9C%E5%90%88%E5%A4%A7%E5%AD%B8" \o "综合大学"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综合型</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"https://zh.wikipedia.org/wiki/%E7%A0%94%E7%A9%B6%E5%9E%8B%E5%A4%A7%E5%AD%B8" \o "研究型大学"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研究大学</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。截至2025年，新加坡国立大学在</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"https://zh.wikipedia.org/wiki/QS%E4%B8%96%E7%95%8C%E5%A4%A7%E5%AD%A6%E6%8E%92%E5%90%8D" \o "QS世界大学排名"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QS世界大学排名</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为世界第8名。</w:t>
      </w:r>
    </w:p>
    <w:p w14:paraId="4791B12B">
      <w:pPr>
        <w:spacing w:line="360" w:lineRule="auto"/>
        <w:rPr>
          <w:rFonts w:hint="default" w:ascii="仿宋" w:hAnsi="仿宋" w:eastAsia="仿宋"/>
          <w:lang w:val="en-US" w:eastAsia="zh-CN"/>
        </w:rPr>
      </w:pP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2326005</wp:posOffset>
            </wp:positionH>
            <wp:positionV relativeFrom="paragraph">
              <wp:posOffset>46355</wp:posOffset>
            </wp:positionV>
            <wp:extent cx="2899410" cy="1934210"/>
            <wp:effectExtent l="0" t="0" r="15240" b="27940"/>
            <wp:wrapTight wrapText="bothSides">
              <wp:wrapPolygon>
                <wp:start x="0" y="0"/>
                <wp:lineTo x="0" y="21487"/>
                <wp:lineTo x="21501" y="21487"/>
                <wp:lineTo x="21501" y="0"/>
                <wp:lineTo x="0" y="0"/>
              </wp:wrapPolygon>
            </wp:wrapTight>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10"/>
                    <a:stretch>
                      <a:fillRect/>
                    </a:stretch>
                  </pic:blipFill>
                  <pic:spPr>
                    <a:xfrm>
                      <a:off x="0" y="0"/>
                      <a:ext cx="2899410" cy="1934210"/>
                    </a:xfrm>
                    <a:prstGeom prst="rect">
                      <a:avLst/>
                    </a:prstGeom>
                    <a:noFill/>
                    <a:ln w="9525">
                      <a:noFill/>
                    </a:ln>
                  </pic:spPr>
                </pic:pic>
              </a:graphicData>
            </a:graphic>
          </wp:anchor>
        </w:drawing>
      </w:r>
      <w:r>
        <w:rPr>
          <w:rFonts w:ascii="宋体" w:hAnsi="宋体" w:eastAsia="宋体" w:cs="宋体"/>
          <w:sz w:val="24"/>
          <w:szCs w:val="24"/>
        </w:rPr>
        <w:drawing>
          <wp:inline distT="0" distB="0" distL="114300" distR="114300">
            <wp:extent cx="1288415" cy="1927860"/>
            <wp:effectExtent l="0" t="0" r="6985" b="571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1"/>
                    <a:stretch>
                      <a:fillRect/>
                    </a:stretch>
                  </pic:blipFill>
                  <pic:spPr>
                    <a:xfrm>
                      <a:off x="0" y="0"/>
                      <a:ext cx="1288415" cy="1927860"/>
                    </a:xfrm>
                    <a:prstGeom prst="rect">
                      <a:avLst/>
                    </a:prstGeom>
                    <a:noFill/>
                    <a:ln w="9525">
                      <a:noFill/>
                    </a:ln>
                  </pic:spPr>
                </pic:pic>
              </a:graphicData>
            </a:graphic>
          </wp:inline>
        </w:drawing>
      </w:r>
    </w:p>
    <w:p w14:paraId="191ACDB9">
      <w:pPr>
        <w:spacing w:line="360" w:lineRule="auto"/>
        <w:rPr>
          <w:rFonts w:hint="eastAsia" w:ascii="仿宋" w:hAnsi="仿宋" w:eastAsia="仿宋"/>
          <w:lang w:val="en-US" w:eastAsia="zh-CN"/>
        </w:rPr>
      </w:pPr>
    </w:p>
    <w:p w14:paraId="15391338">
      <w:pPr>
        <w:spacing w:line="360" w:lineRule="auto"/>
        <w:rPr>
          <w:rFonts w:hint="eastAsia" w:ascii="仿宋" w:hAnsi="仿宋" w:eastAsia="仿宋"/>
          <w:lang w:val="en-US" w:eastAsia="zh-CN"/>
        </w:rPr>
      </w:pPr>
    </w:p>
    <w:p w14:paraId="1DFFFD3B">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南洋理工大学</w:t>
      </w:r>
    </w:p>
    <w:p w14:paraId="6879F621">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南洋理工大学（Nanyang Technological University，简称南大、NTU）</w:t>
      </w:r>
      <w:r>
        <w:rPr>
          <w:rFonts w:hint="eastAsia" w:ascii="微软雅黑" w:hAnsi="微软雅黑" w:eastAsia="微软雅黑" w:cs="微软雅黑"/>
          <w:color w:val="000000"/>
          <w:sz w:val="21"/>
          <w:szCs w:val="21"/>
          <w:lang w:bidi="ar"/>
        </w:rPr>
        <w:t>是新加坡的一所科研密集型公立大学</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在</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"https://baike.so.com/doc/3930063-4124503.html"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纳米材料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"https://baike.so.com/doc/5034332-5260779.html"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生物材料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、功能性陶瓷和</w:t>
      </w:r>
      <w:r>
        <w:rPr>
          <w:rFonts w:hint="eastAsia" w:ascii="微软雅黑" w:hAnsi="微软雅黑" w:eastAsia="微软雅黑" w:cs="微软雅黑"/>
          <w:color w:val="000000"/>
          <w:sz w:val="21"/>
          <w:szCs w:val="21"/>
          <w:lang w:bidi="ar"/>
        </w:rPr>
        <w:fldChar w:fldCharType="begin"/>
      </w:r>
      <w:r>
        <w:rPr>
          <w:rFonts w:hint="eastAsia" w:ascii="微软雅黑" w:hAnsi="微软雅黑" w:eastAsia="微软雅黑" w:cs="微软雅黑"/>
          <w:color w:val="000000"/>
          <w:sz w:val="21"/>
          <w:szCs w:val="21"/>
          <w:lang w:bidi="ar"/>
        </w:rPr>
        <w:instrText xml:space="preserve"> HYPERLINK "https://baike.so.com/doc/6178579-6391823.html" \t "https://baike.so.com/doc/_blank" </w:instrText>
      </w:r>
      <w:r>
        <w:rPr>
          <w:rFonts w:hint="eastAsia" w:ascii="微软雅黑" w:hAnsi="微软雅黑" w:eastAsia="微软雅黑" w:cs="微软雅黑"/>
          <w:color w:val="000000"/>
          <w:sz w:val="21"/>
          <w:szCs w:val="21"/>
          <w:lang w:bidi="ar"/>
        </w:rPr>
        <w:fldChar w:fldCharType="separate"/>
      </w:r>
      <w:r>
        <w:rPr>
          <w:rFonts w:hint="eastAsia" w:ascii="微软雅黑" w:hAnsi="微软雅黑" w:eastAsia="微软雅黑" w:cs="微软雅黑"/>
          <w:color w:val="000000"/>
          <w:sz w:val="21"/>
          <w:szCs w:val="21"/>
          <w:lang w:bidi="ar"/>
        </w:rPr>
        <w:t>高分子材料</w:t>
      </w:r>
      <w:r>
        <w:rPr>
          <w:rFonts w:hint="eastAsia" w:ascii="微软雅黑" w:hAnsi="微软雅黑" w:eastAsia="微软雅黑" w:cs="微软雅黑"/>
          <w:color w:val="000000"/>
          <w:sz w:val="21"/>
          <w:szCs w:val="21"/>
          <w:lang w:bidi="ar"/>
        </w:rPr>
        <w:fldChar w:fldCharType="end"/>
      </w:r>
      <w:r>
        <w:rPr>
          <w:rFonts w:hint="eastAsia" w:ascii="微软雅黑" w:hAnsi="微软雅黑" w:eastAsia="微软雅黑" w:cs="微软雅黑"/>
          <w:color w:val="000000"/>
          <w:sz w:val="21"/>
          <w:szCs w:val="21"/>
          <w:lang w:bidi="ar"/>
        </w:rPr>
        <w:t>等</w:t>
      </w:r>
      <w:r>
        <w:rPr>
          <w:rFonts w:hint="eastAsia" w:ascii="微软雅黑" w:hAnsi="微软雅黑" w:eastAsia="微软雅黑" w:cs="微软雅黑"/>
          <w:color w:val="000000"/>
          <w:sz w:val="21"/>
          <w:szCs w:val="21"/>
          <w:lang w:val="en-US" w:eastAsia="zh-CN" w:bidi="ar"/>
        </w:rPr>
        <w:t>许多领域的研究</w:t>
      </w:r>
      <w:r>
        <w:rPr>
          <w:rFonts w:hint="eastAsia" w:ascii="微软雅黑" w:hAnsi="微软雅黑" w:eastAsia="微软雅黑" w:cs="微软雅黑"/>
          <w:sz w:val="21"/>
          <w:szCs w:val="21"/>
          <w:lang w:val="en-US" w:eastAsia="zh-CN"/>
        </w:rPr>
        <w:t>享有世界盛名，为</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"https://baike.so.com/doc/523017-553699.html"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工科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"https://baike.so.com/doc/6672381-24975729.html" \t "https://baike.so.com/doc/_blank"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商科</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并重的综合性大学。2025年QS世界大学排名第15位。</w:t>
      </w:r>
    </w:p>
    <w:p w14:paraId="3C724598">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1902460" cy="2240915"/>
            <wp:effectExtent l="0" t="0" r="2540"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902460" cy="2240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27350" cy="2195830"/>
            <wp:effectExtent l="0" t="0" r="6350" b="444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2927350" cy="2195830"/>
                    </a:xfrm>
                    <a:prstGeom prst="rect">
                      <a:avLst/>
                    </a:prstGeom>
                    <a:noFill/>
                    <a:ln w="9525">
                      <a:noFill/>
                    </a:ln>
                  </pic:spPr>
                </pic:pic>
              </a:graphicData>
            </a:graphic>
          </wp:inline>
        </w:drawing>
      </w:r>
    </w:p>
    <w:p w14:paraId="367D4183">
      <w:pPr>
        <w:spacing w:line="360" w:lineRule="auto"/>
        <w:rPr>
          <w:rFonts w:hint="eastAsia" w:ascii="微软雅黑" w:hAnsi="微软雅黑" w:eastAsia="微软雅黑" w:cs="微软雅黑"/>
          <w:b/>
          <w:bCs/>
          <w:color w:val="000000"/>
          <w:lang w:val="en-US" w:eastAsia="zh-CN" w:bidi="ar"/>
        </w:rPr>
      </w:pPr>
    </w:p>
    <w:p w14:paraId="20977D4F">
      <w:pPr>
        <w:spacing w:line="360" w:lineRule="auto"/>
        <w:rPr>
          <w:rFonts w:hint="eastAsia" w:ascii="微软雅黑" w:hAnsi="微软雅黑" w:eastAsia="微软雅黑" w:cs="微软雅黑"/>
          <w:b/>
          <w:bCs/>
          <w:color w:val="000000"/>
          <w:lang w:val="en-US" w:eastAsia="zh-CN" w:bidi="ar"/>
        </w:rPr>
      </w:pPr>
    </w:p>
    <w:p w14:paraId="7A106D3A">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 xml:space="preserve">新加坡社科大学 </w:t>
      </w:r>
    </w:p>
    <w:p w14:paraId="654A16AB">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新加坡社科大学（Singapore University of Social Sciences，简称“SUSS”）是一所以商学、经济学科为主，艺术、文学、教育、工学等协调发展的国际化应用型高校，坐落于新加坡金文泰区的公立应用研究型大学。其是新加坡教育部高等教育委员会辖下的法定七间公立大学之一，为新加坡高等学府开创应用型教育和终身学习的先锋。</w:t>
      </w:r>
    </w:p>
    <w:p w14:paraId="58083FC4"/>
    <w:p w14:paraId="76D86275">
      <w:pPr>
        <w:spacing w:line="360" w:lineRule="auto"/>
        <w:rPr>
          <w:rFonts w:hint="default" w:ascii="仿宋" w:hAnsi="仿宋" w:eastAsia="宋体" w:cs="MicrosoftYaHei"/>
          <w:color w:val="B72024"/>
          <w:lang w:val="en-US" w:eastAsia="zh-CN" w:bidi="ar"/>
        </w:rPr>
      </w:pPr>
      <w:r>
        <w:rPr>
          <w:rFonts w:ascii="宋体" w:hAnsi="宋体" w:eastAsia="宋体" w:cs="宋体"/>
          <w:sz w:val="24"/>
          <w:szCs w:val="24"/>
        </w:rPr>
        <w:drawing>
          <wp:inline distT="0" distB="0" distL="114300" distR="114300">
            <wp:extent cx="2378075" cy="1194435"/>
            <wp:effectExtent l="0" t="0" r="3175" b="571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4"/>
                    <a:stretch>
                      <a:fillRect/>
                    </a:stretch>
                  </pic:blipFill>
                  <pic:spPr>
                    <a:xfrm>
                      <a:off x="0" y="0"/>
                      <a:ext cx="2378075" cy="1194435"/>
                    </a:xfrm>
                    <a:prstGeom prst="rect">
                      <a:avLst/>
                    </a:prstGeom>
                    <a:noFill/>
                    <a:ln w="9525">
                      <a:noFill/>
                    </a:ln>
                  </pic:spPr>
                </pic:pic>
              </a:graphicData>
            </a:graphic>
          </wp:inline>
        </w:drawing>
      </w: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2741930</wp:posOffset>
            </wp:positionH>
            <wp:positionV relativeFrom="paragraph">
              <wp:posOffset>76835</wp:posOffset>
            </wp:positionV>
            <wp:extent cx="3202940" cy="1431290"/>
            <wp:effectExtent l="0" t="0" r="6985" b="6985"/>
            <wp:wrapSquare wrapText="bothSides"/>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3202940" cy="1431290"/>
                    </a:xfrm>
                    <a:prstGeom prst="rect">
                      <a:avLst/>
                    </a:prstGeom>
                    <a:noFill/>
                    <a:ln w="9525">
                      <a:noFill/>
                    </a:ln>
                  </pic:spPr>
                </pic:pic>
              </a:graphicData>
            </a:graphic>
          </wp:anchor>
        </w:drawing>
      </w:r>
      <w:r>
        <w:rPr>
          <w:rFonts w:hint="eastAsia" w:cs="宋体"/>
          <w:sz w:val="24"/>
          <w:szCs w:val="24"/>
          <w:lang w:val="en-US" w:eastAsia="zh-CN"/>
        </w:rPr>
        <w:t xml:space="preserve">  </w:t>
      </w:r>
    </w:p>
    <w:p w14:paraId="17F416A9">
      <w:pPr>
        <w:spacing w:line="360" w:lineRule="auto"/>
        <w:rPr>
          <w:rFonts w:hint="eastAsia" w:ascii="微软雅黑" w:hAnsi="微软雅黑" w:eastAsia="微软雅黑" w:cs="微软雅黑"/>
          <w:b/>
          <w:bCs/>
          <w:color w:val="auto"/>
          <w:lang w:bidi="ar"/>
        </w:rPr>
      </w:pPr>
    </w:p>
    <w:p w14:paraId="0F37F93A">
      <w:pPr>
        <w:spacing w:line="360" w:lineRule="auto"/>
        <w:rPr>
          <w:rFonts w:hint="eastAsia" w:ascii="微软雅黑" w:hAnsi="微软雅黑" w:eastAsia="微软雅黑" w:cs="微软雅黑"/>
          <w:b/>
          <w:bCs/>
          <w:color w:val="auto"/>
          <w:lang w:bidi="ar"/>
        </w:rPr>
      </w:pPr>
    </w:p>
    <w:p w14:paraId="5163D579">
      <w:pPr>
        <w:spacing w:line="360" w:lineRule="auto"/>
        <w:rPr>
          <w:rFonts w:hint="eastAsia" w:ascii="微软雅黑" w:hAnsi="微软雅黑" w:eastAsia="微软雅黑" w:cs="微软雅黑"/>
          <w:b/>
          <w:bCs/>
          <w:color w:val="auto"/>
          <w:lang w:bidi="ar"/>
        </w:rPr>
      </w:pPr>
    </w:p>
    <w:p w14:paraId="70B2231D">
      <w:pPr>
        <w:rPr>
          <w:rFonts w:hint="eastAsia"/>
        </w:rPr>
      </w:pPr>
    </w:p>
    <w:p w14:paraId="562A3B07">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参访企业：</w:t>
      </w:r>
      <w:r>
        <w:rPr>
          <w:rFonts w:hint="eastAsia" w:ascii="微软雅黑" w:hAnsi="微软雅黑" w:eastAsia="微软雅黑" w:cs="微软雅黑"/>
          <w:b/>
          <w:bCs/>
          <w:color w:val="auto"/>
          <w:lang w:eastAsia="zh-CN" w:bidi="ar"/>
        </w:rPr>
        <w:t>（</w:t>
      </w:r>
      <w:r>
        <w:rPr>
          <w:rFonts w:hint="eastAsia" w:ascii="微软雅黑" w:hAnsi="微软雅黑" w:eastAsia="微软雅黑" w:cs="微软雅黑"/>
          <w:b/>
          <w:bCs/>
          <w:color w:val="auto"/>
          <w:lang w:val="en-US" w:eastAsia="zh-CN" w:bidi="ar"/>
        </w:rPr>
        <w:t>会根据</w:t>
      </w:r>
      <w:r>
        <w:rPr>
          <w:rFonts w:hint="eastAsia" w:ascii="微软雅黑" w:hAnsi="微软雅黑" w:eastAsia="微软雅黑" w:cs="微软雅黑"/>
          <w:b/>
          <w:bCs/>
          <w:sz w:val="24"/>
          <w:szCs w:val="24"/>
          <w:lang w:val="en-US" w:eastAsia="zh-CN"/>
        </w:rPr>
        <w:t>企业生产任务</w:t>
      </w:r>
      <w:r>
        <w:rPr>
          <w:rFonts w:hint="eastAsia" w:ascii="微软雅黑" w:hAnsi="微软雅黑" w:eastAsia="微软雅黑" w:cs="微软雅黑"/>
          <w:b/>
          <w:bCs/>
          <w:sz w:val="24"/>
          <w:szCs w:val="24"/>
        </w:rPr>
        <w:t>、接待</w:t>
      </w:r>
      <w:r>
        <w:rPr>
          <w:rFonts w:hint="eastAsia" w:ascii="微软雅黑" w:hAnsi="微软雅黑" w:eastAsia="微软雅黑" w:cs="微软雅黑"/>
          <w:b/>
          <w:bCs/>
          <w:sz w:val="24"/>
          <w:szCs w:val="24"/>
          <w:lang w:val="en-US" w:eastAsia="zh-CN"/>
        </w:rPr>
        <w:t>安排</w:t>
      </w:r>
      <w:r>
        <w:rPr>
          <w:rFonts w:hint="eastAsia" w:ascii="微软雅黑" w:hAnsi="微软雅黑" w:eastAsia="微软雅黑" w:cs="微软雅黑"/>
          <w:b/>
          <w:bCs/>
          <w:sz w:val="24"/>
          <w:szCs w:val="24"/>
        </w:rPr>
        <w:t>等客观因素</w:t>
      </w:r>
      <w:r>
        <w:rPr>
          <w:rFonts w:hint="eastAsia" w:ascii="微软雅黑" w:hAnsi="微软雅黑" w:eastAsia="微软雅黑" w:cs="微软雅黑"/>
          <w:b/>
          <w:bCs/>
          <w:color w:val="auto"/>
          <w:lang w:val="en-US" w:eastAsia="zh-CN" w:bidi="ar"/>
        </w:rPr>
        <w:t>进行最终选择</w:t>
      </w:r>
      <w:r>
        <w:rPr>
          <w:rFonts w:hint="eastAsia" w:ascii="微软雅黑" w:hAnsi="微软雅黑" w:eastAsia="微软雅黑" w:cs="微软雅黑"/>
          <w:b/>
          <w:bCs/>
          <w:color w:val="auto"/>
          <w:lang w:eastAsia="zh-CN" w:bidi="ar"/>
        </w:rPr>
        <w:t>）</w:t>
      </w:r>
    </w:p>
    <w:p w14:paraId="2CEFE14E">
      <w:pPr>
        <w:rPr>
          <w:rFonts w:hint="eastAsia"/>
          <w:lang w:eastAsia="zh-CN"/>
        </w:rPr>
      </w:pPr>
    </w:p>
    <w:p w14:paraId="509FEAF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新加坡规划局展览馆（URA gallery）</w:t>
      </w:r>
    </w:p>
    <w:p w14:paraId="1AE58392">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3220085" cy="1809750"/>
            <wp:effectExtent l="0" t="0" r="5715" b="6350"/>
            <wp:docPr id="14" name="图片 14" descr="077560d16fb45fb1561dad0ccdb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7560d16fb45fb1561dad0ccdbe483"/>
                    <pic:cNvPicPr>
                      <a:picLocks noChangeAspect="1"/>
                    </pic:cNvPicPr>
                  </pic:nvPicPr>
                  <pic:blipFill>
                    <a:blip r:embed="rId16"/>
                    <a:stretch>
                      <a:fillRect/>
                    </a:stretch>
                  </pic:blipFill>
                  <pic:spPr>
                    <a:xfrm>
                      <a:off x="0" y="0"/>
                      <a:ext cx="3220085" cy="1809750"/>
                    </a:xfrm>
                    <a:prstGeom prst="rect">
                      <a:avLst/>
                    </a:prstGeom>
                  </pic:spPr>
                </pic:pic>
              </a:graphicData>
            </a:graphic>
          </wp:inline>
        </w:drawing>
      </w:r>
    </w:p>
    <w:p w14:paraId="78F2B95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新加坡城市规划展览馆(URA)的前身为市区城建局展示廊。展览馆占据3个楼层。作为新加坡城市规划的游客参观中心，它向参观者展示了新加坡如何一步步发展成今天这个生气勃勃、拥有565万人口的现代都市，而同时又有空间开发绿地、保存古建筑遗迹、创造优雅的生活环境。</w:t>
      </w:r>
    </w:p>
    <w:p w14:paraId="34EBD33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3F9C03F3">
      <w:pPr>
        <w:spacing w:line="360" w:lineRule="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机器人公司（Weston Robot）</w:t>
      </w:r>
    </w:p>
    <w:p w14:paraId="76234784">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drawing>
          <wp:inline distT="0" distB="0" distL="114300" distR="114300">
            <wp:extent cx="2301875" cy="2020570"/>
            <wp:effectExtent l="0" t="0" r="17780" b="3175"/>
            <wp:docPr id="1" name="图片 1" descr="ac883f32a3ed3b94ef772650edc4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883f32a3ed3b94ef772650edc4b3c"/>
                    <pic:cNvPicPr>
                      <a:picLocks noChangeAspect="1"/>
                    </pic:cNvPicPr>
                  </pic:nvPicPr>
                  <pic:blipFill>
                    <a:blip r:embed="rId17"/>
                    <a:stretch>
                      <a:fillRect/>
                    </a:stretch>
                  </pic:blipFill>
                  <pic:spPr>
                    <a:xfrm rot="5400000">
                      <a:off x="0" y="0"/>
                      <a:ext cx="2301875" cy="2020570"/>
                    </a:xfrm>
                    <a:prstGeom prst="rect">
                      <a:avLst/>
                    </a:prstGeom>
                  </pic:spPr>
                </pic:pic>
              </a:graphicData>
            </a:graphic>
          </wp:inline>
        </w:drawing>
      </w:r>
    </w:p>
    <w:p w14:paraId="4175515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Weston Robot是一家总部位于新加坡的机器人公司，由新加坡国立大学教授与研究员创办，专门为设施管理、公用事业和运输等各行各业开发自主机器人解决方案。Weston Robot 已在新加坡各地部署了 300 多台自主机器人，为提高环境服务和基础设施维护等行业的效率做出了贡献。</w:t>
      </w:r>
    </w:p>
    <w:p w14:paraId="3471E02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05DBE16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ACE（The Action Community for Entrepreneurship）</w:t>
      </w:r>
    </w:p>
    <w:p w14:paraId="0F7F74F2">
      <w:pPr>
        <w:spacing w:line="360" w:lineRule="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2604135" cy="1953260"/>
            <wp:effectExtent l="0" t="0" r="5715" b="8890"/>
            <wp:docPr id="26" name="图片 26" descr="692c29aceea136e86e5938fd8402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92c29aceea136e86e5938fd8402ce9"/>
                    <pic:cNvPicPr>
                      <a:picLocks noChangeAspect="1"/>
                    </pic:cNvPicPr>
                  </pic:nvPicPr>
                  <pic:blipFill>
                    <a:blip r:embed="rId18"/>
                    <a:stretch>
                      <a:fillRect/>
                    </a:stretch>
                  </pic:blipFill>
                  <pic:spPr>
                    <a:xfrm>
                      <a:off x="0" y="0"/>
                      <a:ext cx="2604135" cy="1953260"/>
                    </a:xfrm>
                    <a:prstGeom prst="rect">
                      <a:avLst/>
                    </a:prstGeom>
                  </pic:spPr>
                </pic:pic>
              </a:graphicData>
            </a:graphic>
          </wp:inline>
        </w:drawing>
      </w:r>
    </w:p>
    <w:p w14:paraId="39698D3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ACE是新加坡政府支持和促进初创企业发展的重要行业协会。ACE 为初创企业提供指导、研讨会和交流机会，在培育充满活力的创业生态系统方面发挥着至关重要的作用。通过将初创企业创始人与经验丰富的企业家、投资者和行业专家联系起来，ACE 成为推动新加坡初创企业生态系统创业增长和创新的宝贵资源。</w:t>
      </w:r>
    </w:p>
    <w:p w14:paraId="4927777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0963B603">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生态农场（Urban Farm）</w:t>
      </w:r>
    </w:p>
    <w:p w14:paraId="57C8C739">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3411855" cy="1920240"/>
            <wp:effectExtent l="0" t="0" r="7620" b="3810"/>
            <wp:docPr id="16" name="图片 16" descr="a5e0d5d1fbb79a467640c2d8579f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e0d5d1fbb79a467640c2d8579f949"/>
                    <pic:cNvPicPr>
                      <a:picLocks noChangeAspect="1"/>
                    </pic:cNvPicPr>
                  </pic:nvPicPr>
                  <pic:blipFill>
                    <a:blip r:embed="rId19"/>
                    <a:stretch>
                      <a:fillRect/>
                    </a:stretch>
                  </pic:blipFill>
                  <pic:spPr>
                    <a:xfrm>
                      <a:off x="0" y="0"/>
                      <a:ext cx="3411855" cy="1920240"/>
                    </a:xfrm>
                    <a:prstGeom prst="rect">
                      <a:avLst/>
                    </a:prstGeom>
                  </pic:spPr>
                </pic:pic>
              </a:graphicData>
            </a:graphic>
          </wp:inline>
        </w:drawing>
      </w:r>
    </w:p>
    <w:p w14:paraId="58730EA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color w:val="000000"/>
          <w:sz w:val="21"/>
          <w:szCs w:val="21"/>
          <w:lang w:val="en-US" w:eastAsia="zh-CN" w:bidi="ar"/>
        </w:rPr>
        <w:t>新加坡生态农场是</w:t>
      </w:r>
      <w:r>
        <w:rPr>
          <w:rFonts w:hint="eastAsia" w:ascii="微软雅黑" w:hAnsi="微软雅黑" w:eastAsia="微软雅黑" w:cs="微软雅黑"/>
          <w:sz w:val="21"/>
          <w:szCs w:val="21"/>
          <w:lang w:val="en-US" w:eastAsia="zh-CN"/>
        </w:rPr>
        <w:t>新加坡集农业产业和教育为一体的现代农场。旨在发展由农业课程、教育农场和区块链市场组成的循环生态系统，并致力于教育年轻一代，关于粮食安全，可持续发展，以及农业创新创业。</w:t>
      </w:r>
    </w:p>
    <w:p w14:paraId="620017C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65A281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樟宜机场集团（CAG）</w:t>
      </w:r>
    </w:p>
    <w:p w14:paraId="6232EFAA">
      <w:pPr>
        <w:spacing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224405" cy="1668780"/>
            <wp:effectExtent l="0" t="0" r="4445" b="7620"/>
            <wp:docPr id="17" name="图片 17" descr="樟宜机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樟宜机场1"/>
                    <pic:cNvPicPr>
                      <a:picLocks noChangeAspect="1"/>
                    </pic:cNvPicPr>
                  </pic:nvPicPr>
                  <pic:blipFill>
                    <a:blip r:embed="rId20"/>
                    <a:stretch>
                      <a:fillRect/>
                    </a:stretch>
                  </pic:blipFill>
                  <pic:spPr>
                    <a:xfrm>
                      <a:off x="0" y="0"/>
                      <a:ext cx="2224405" cy="1668780"/>
                    </a:xfrm>
                    <a:prstGeom prst="rect">
                      <a:avLst/>
                    </a:prstGeom>
                  </pic:spPr>
                </pic:pic>
              </a:graphicData>
            </a:graphic>
          </wp:inline>
        </w:drawing>
      </w:r>
    </w:p>
    <w:p w14:paraId="3FF89A9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CAG负责新加坡樟宜机场的管理和运营，该机场以高效、创新和客户体验著称，是世界领先的机场之一。新加坡樟宜机场集团成立于 2009 年，负责监督机场运营、零售和餐饮服务，以及基础设施的发展，以提高连接性和旅客满意度。除运营外，CAG 还关注可持续发展、利用技术和扩大合作伙伴关系，以巩固樟宜机场作为全球航空枢纽的地位。</w:t>
      </w:r>
    </w:p>
    <w:p w14:paraId="7A8805A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20D43E0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Killiney Kopitiam </w:t>
      </w:r>
    </w:p>
    <w:p w14:paraId="0E27194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1"/>
          <w:szCs w:val="21"/>
          <w:lang w:val="en-US" w:eastAsia="zh-CN"/>
        </w:rPr>
        <w:drawing>
          <wp:inline distT="0" distB="0" distL="114300" distR="114300">
            <wp:extent cx="2577465" cy="1450975"/>
            <wp:effectExtent l="0" t="0" r="13335" b="15875"/>
            <wp:docPr id="21" name="图片 21" descr="咖啡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咖啡店1"/>
                    <pic:cNvPicPr>
                      <a:picLocks noChangeAspect="1"/>
                    </pic:cNvPicPr>
                  </pic:nvPicPr>
                  <pic:blipFill>
                    <a:blip r:embed="rId21"/>
                    <a:stretch>
                      <a:fillRect/>
                    </a:stretch>
                  </pic:blipFill>
                  <pic:spPr>
                    <a:xfrm>
                      <a:off x="0" y="0"/>
                      <a:ext cx="2577465" cy="1450975"/>
                    </a:xfrm>
                    <a:prstGeom prst="rect">
                      <a:avLst/>
                    </a:prstGeom>
                  </pic:spPr>
                </pic:pic>
              </a:graphicData>
            </a:graphic>
          </wp:inline>
        </w:drawing>
      </w:r>
    </w:p>
    <w:p w14:paraId="1D07102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Killiney Kopitiam 创建于 1919 年，是新加坡历史最悠久的海南Coffee shop. 它的前身是 Kheng Hoe Heng Coffee shop，以传统的炭烤咖椰吐司和精心调制的咖啡和茶而闻名。1992 年，海南商人温德成（Woon Tek Seng）收购了这家咖啡店，并将其更名为 “Killiney Kopitiam</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该品牌遍布新加坡以及马来西亚和印度尼西亚等国。企业已实现从实体到在线、数字和食品技术投资的发展。</w:t>
      </w:r>
    </w:p>
    <w:p w14:paraId="37FD27C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zh-CN"/>
        </w:rPr>
      </w:pPr>
    </w:p>
    <w:p w14:paraId="50E5ECBE">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凯度咨询 (Kantar SG)</w:t>
      </w:r>
    </w:p>
    <w:p w14:paraId="69C5F4CC">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4"/>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sz w:val="21"/>
          <w:szCs w:val="21"/>
          <w:lang w:eastAsia="zh-CN"/>
        </w:rPr>
        <w:drawing>
          <wp:inline distT="0" distB="0" distL="114300" distR="114300">
            <wp:extent cx="2347595" cy="1760220"/>
            <wp:effectExtent l="0" t="0" r="14605" b="11430"/>
            <wp:docPr id="33" name="图片 33" descr="凯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凯度3"/>
                    <pic:cNvPicPr>
                      <a:picLocks noChangeAspect="1"/>
                    </pic:cNvPicPr>
                  </pic:nvPicPr>
                  <pic:blipFill>
                    <a:blip r:embed="rId22"/>
                    <a:stretch>
                      <a:fillRect/>
                    </a:stretch>
                  </pic:blipFill>
                  <pic:spPr>
                    <a:xfrm>
                      <a:off x="0" y="0"/>
                      <a:ext cx="2347595" cy="1760220"/>
                    </a:xfrm>
                    <a:prstGeom prst="rect">
                      <a:avLst/>
                    </a:prstGeom>
                  </pic:spPr>
                </pic:pic>
              </a:graphicData>
            </a:graphic>
          </wp:inline>
        </w:drawing>
      </w:r>
    </w:p>
    <w:p w14:paraId="21428B31">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3" w:firstLine="420" w:firstLineChars="200"/>
        <w:jc w:val="both"/>
        <w:textAlignment w:val="baseline"/>
        <w:rPr>
          <w:rFonts w:hint="eastAsia" w:ascii="微软雅黑" w:hAnsi="微软雅黑" w:eastAsia="微软雅黑" w:cs="微软雅黑"/>
          <w:spacing w:val="-2"/>
          <w:sz w:val="21"/>
          <w:szCs w:val="21"/>
        </w:rPr>
      </w:pPr>
      <w:r>
        <w:rPr>
          <w:rFonts w:hint="eastAsia" w:ascii="微软雅黑" w:hAnsi="微软雅黑" w:eastAsia="微软雅黑" w:cs="微软雅黑"/>
          <w:sz w:val="21"/>
          <w:szCs w:val="21"/>
        </w:rPr>
        <w:t>凯度是全球领先的数据、洞察与咨询公司。我们帮助客户深度洞察人性，捕捉增长灵感。凯度以数据和证据</w:t>
      </w:r>
      <w:r>
        <w:rPr>
          <w:rFonts w:hint="eastAsia" w:ascii="微软雅黑" w:hAnsi="微软雅黑" w:eastAsia="微软雅黑" w:cs="微软雅黑"/>
          <w:spacing w:val="-1"/>
          <w:sz w:val="21"/>
          <w:szCs w:val="21"/>
        </w:rPr>
        <w:t>为基础，向全球客户提供</w:t>
      </w:r>
      <w:r>
        <w:rPr>
          <w:rFonts w:hint="eastAsia" w:ascii="微软雅黑" w:hAnsi="微软雅黑" w:eastAsia="微软雅黑" w:cs="微软雅黑"/>
          <w:sz w:val="21"/>
          <w:szCs w:val="21"/>
        </w:rPr>
        <w:t xml:space="preserve"> 洞察与可执行建议。我们对全球各国的人们拥有完整和独特的认识：我们懂得他们是如何思考、感受和行动的；</w:t>
      </w:r>
      <w:r>
        <w:rPr>
          <w:rFonts w:hint="eastAsia" w:ascii="微软雅黑" w:hAnsi="微软雅黑" w:eastAsia="微软雅黑" w:cs="微软雅黑"/>
          <w:spacing w:val="-1"/>
          <w:sz w:val="21"/>
          <w:szCs w:val="21"/>
        </w:rPr>
        <w:t>我们有覆盖全球超过</w:t>
      </w:r>
      <w:r>
        <w:rPr>
          <w:rFonts w:hint="eastAsia" w:ascii="微软雅黑" w:hAnsi="微软雅黑" w:eastAsia="微软雅黑" w:cs="微软雅黑"/>
          <w:sz w:val="21"/>
          <w:szCs w:val="21"/>
        </w:rPr>
        <w:t xml:space="preserve"> 90个市场的规模优势，也有专注本地的深度洞察。我们不仅帮助客户理解已经发生了什么，我们还解读为什么会</w:t>
      </w:r>
      <w:r>
        <w:rPr>
          <w:rFonts w:hint="eastAsia" w:ascii="微软雅黑" w:hAnsi="微软雅黑" w:eastAsia="微软雅黑" w:cs="微软雅黑"/>
          <w:spacing w:val="-1"/>
          <w:sz w:val="21"/>
          <w:szCs w:val="21"/>
        </w:rPr>
        <w:t>发生，以及应当如何</w:t>
      </w:r>
      <w:r>
        <w:rPr>
          <w:rFonts w:hint="eastAsia" w:ascii="微软雅黑" w:hAnsi="微软雅黑" w:eastAsia="微软雅黑" w:cs="微软雅黑"/>
          <w:spacing w:val="-2"/>
          <w:sz w:val="21"/>
          <w:szCs w:val="21"/>
        </w:rPr>
        <w:t>做以掌控未来。</w:t>
      </w:r>
    </w:p>
    <w:p w14:paraId="6AA2EE64">
      <w:pPr>
        <w:pStyle w:val="2"/>
        <w:keepNext w:val="0"/>
        <w:keepLines w:val="0"/>
        <w:pageBreakBefore w:val="0"/>
        <w:widowControl/>
        <w:kinsoku w:val="0"/>
        <w:wordWrap/>
        <w:overflowPunct/>
        <w:topLinePunct w:val="0"/>
        <w:autoSpaceDE w:val="0"/>
        <w:autoSpaceDN w:val="0"/>
        <w:bidi w:val="0"/>
        <w:adjustRightInd w:val="0"/>
        <w:snapToGrid w:val="0"/>
        <w:spacing w:before="58" w:line="360" w:lineRule="auto"/>
        <w:ind w:right="23"/>
        <w:jc w:val="both"/>
        <w:textAlignment w:val="baseline"/>
        <w:rPr>
          <w:rFonts w:hint="eastAsia" w:ascii="微软雅黑" w:hAnsi="微软雅黑" w:eastAsia="微软雅黑" w:cs="微软雅黑"/>
          <w:spacing w:val="-2"/>
          <w:sz w:val="21"/>
          <w:szCs w:val="21"/>
          <w:lang w:eastAsia="zh-CN"/>
        </w:rPr>
      </w:pPr>
    </w:p>
    <w:p w14:paraId="4D88140B">
      <w:pPr>
        <w:spacing w:line="360" w:lineRule="auto"/>
        <w:rPr>
          <w:rFonts w:hint="eastAsia" w:ascii="微软雅黑" w:hAnsi="微软雅黑" w:eastAsia="微软雅黑" w:cs="微软雅黑"/>
          <w:b/>
          <w:bCs/>
          <w:sz w:val="24"/>
          <w:szCs w:val="24"/>
          <w:lang w:val="en-US" w:eastAsia="zh-CN" w:bidi="zh-CN"/>
        </w:rPr>
      </w:pPr>
      <w:r>
        <w:rPr>
          <w:rFonts w:hint="eastAsia" w:ascii="微软雅黑" w:hAnsi="微软雅黑" w:eastAsia="微软雅黑" w:cs="微软雅黑"/>
          <w:b/>
          <w:bCs/>
          <w:sz w:val="24"/>
          <w:szCs w:val="24"/>
          <w:lang w:val="en-US" w:eastAsia="zh-CN" w:bidi="zh-CN"/>
        </w:rPr>
        <w:t>新加坡金融管理局（MAS）</w:t>
      </w:r>
    </w:p>
    <w:p w14:paraId="0A55222A">
      <w:pPr>
        <w:spacing w:line="360" w:lineRule="auto"/>
        <w:rPr>
          <w:rFonts w:hint="eastAsia" w:ascii="微软雅黑" w:hAnsi="微软雅黑" w:eastAsia="微软雅黑" w:cs="微软雅黑"/>
          <w:b/>
          <w:bCs/>
          <w:sz w:val="24"/>
          <w:szCs w:val="24"/>
          <w:lang w:val="en-US" w:eastAsia="zh-CN" w:bidi="zh-CN"/>
        </w:rPr>
      </w:pPr>
      <w:r>
        <w:rPr>
          <w:rFonts w:ascii="宋体" w:hAnsi="宋体" w:eastAsia="宋体" w:cs="宋体"/>
          <w:sz w:val="24"/>
          <w:szCs w:val="24"/>
        </w:rPr>
        <w:drawing>
          <wp:inline distT="0" distB="0" distL="114300" distR="114300">
            <wp:extent cx="2882265" cy="1564005"/>
            <wp:effectExtent l="0" t="0" r="13335" b="17145"/>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23"/>
                    <a:stretch>
                      <a:fillRect/>
                    </a:stretch>
                  </pic:blipFill>
                  <pic:spPr>
                    <a:xfrm>
                      <a:off x="0" y="0"/>
                      <a:ext cx="2882265" cy="1564005"/>
                    </a:xfrm>
                    <a:prstGeom prst="rect">
                      <a:avLst/>
                    </a:prstGeom>
                    <a:noFill/>
                    <a:ln w="9525">
                      <a:noFill/>
                    </a:ln>
                  </pic:spPr>
                </pic:pic>
              </a:graphicData>
            </a:graphic>
          </wp:inline>
        </w:drawing>
      </w:r>
    </w:p>
    <w:p w14:paraId="44DDA44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新加坡金融管理局是新加坡行使中央银行职能的金融机构。全面行使一般中央银行的职权（除发行货币），包括指导金融业、监督银行的各项经营行为。</w:t>
      </w:r>
    </w:p>
    <w:p w14:paraId="4E401E65">
      <w:pPr>
        <w:spacing w:line="360" w:lineRule="auto"/>
        <w:rPr>
          <w:rFonts w:hint="eastAsia" w:ascii="微软雅黑" w:hAnsi="微软雅黑" w:eastAsia="微软雅黑" w:cs="微软雅黑"/>
          <w:b/>
          <w:bCs/>
          <w:color w:val="auto"/>
          <w:lang w:val="en-US" w:eastAsia="zh-CN" w:bidi="ar"/>
        </w:rPr>
      </w:pPr>
    </w:p>
    <w:p w14:paraId="550296DF">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部分师资简介</w:t>
      </w:r>
    </w:p>
    <w:p w14:paraId="44659A6F">
      <w:pPr>
        <w:spacing w:line="360" w:lineRule="auto"/>
        <w:rPr>
          <w:rFonts w:hint="eastAsia" w:ascii="微软雅黑" w:hAnsi="微软雅黑" w:eastAsia="微软雅黑" w:cs="微软雅黑"/>
          <w:b/>
          <w:bCs/>
          <w:color w:val="auto"/>
          <w:lang w:val="en-US" w:eastAsia="zh-CN" w:bidi="ar"/>
        </w:rPr>
      </w:pPr>
      <w:r>
        <w:rPr>
          <w:rFonts w:ascii="Arial" w:hAnsi="Arial" w:cs="Arial"/>
          <w:color w:val="000000"/>
          <w:sz w:val="22"/>
        </w:rPr>
        <w:drawing>
          <wp:inline distT="0" distB="0" distL="114300" distR="114300">
            <wp:extent cx="1473200" cy="1473200"/>
            <wp:effectExtent l="0" t="0" r="12700" b="12700"/>
            <wp:docPr id="11" name="图片 6"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 person in a white shirt&#10;&#10;Description automatically generated"/>
                    <pic:cNvPicPr>
                      <a:picLocks noChangeAspect="1"/>
                    </pic:cNvPicPr>
                  </pic:nvPicPr>
                  <pic:blipFill>
                    <a:blip r:embed="rId24"/>
                    <a:stretch>
                      <a:fillRect/>
                    </a:stretch>
                  </pic:blipFill>
                  <pic:spPr>
                    <a:xfrm>
                      <a:off x="0" y="0"/>
                      <a:ext cx="1473200" cy="1473200"/>
                    </a:xfrm>
                    <a:prstGeom prst="rect">
                      <a:avLst/>
                    </a:prstGeom>
                    <a:noFill/>
                    <a:ln>
                      <a:noFill/>
                    </a:ln>
                  </pic:spPr>
                </pic:pic>
              </a:graphicData>
            </a:graphic>
          </wp:inline>
        </w:drawing>
      </w:r>
      <w:r>
        <w:rPr>
          <w:rFonts w:hint="eastAsia" w:ascii="Arial" w:hAnsi="Arial" w:cs="Arial"/>
          <w:color w:val="000000"/>
          <w:sz w:val="22"/>
          <w:lang w:val="en-US" w:eastAsia="zh-CN"/>
        </w:rPr>
        <w:t xml:space="preserve"> </w:t>
      </w:r>
      <w:r>
        <w:rPr>
          <w:rFonts w:hint="eastAsia" w:ascii="微软雅黑" w:hAnsi="微软雅黑" w:eastAsia="微软雅黑" w:cs="微软雅黑"/>
          <w:b/>
          <w:bCs/>
          <w:color w:val="auto"/>
          <w:lang w:val="en-US" w:eastAsia="zh-CN" w:bidi="ar"/>
        </w:rPr>
        <w:t>Sapto Handoyo</w:t>
      </w:r>
    </w:p>
    <w:p w14:paraId="0B4520F1">
      <w:pPr>
        <w:spacing w:line="360" w:lineRule="auto"/>
        <w:rPr>
          <w:rFonts w:hint="eastAsia" w:ascii="微软雅黑" w:hAnsi="微软雅黑" w:eastAsia="微软雅黑" w:cs="微软雅黑"/>
          <w:color w:val="auto"/>
          <w:lang w:val="en-US" w:eastAsia="zh-CN" w:bidi="ar"/>
        </w:rPr>
      </w:pPr>
      <w:r>
        <w:rPr>
          <w:rFonts w:hint="eastAsia" w:ascii="微软雅黑" w:hAnsi="微软雅黑" w:eastAsia="微软雅黑" w:cs="微软雅黑"/>
          <w:b/>
          <w:bCs/>
          <w:color w:val="auto"/>
          <w:sz w:val="24"/>
          <w:szCs w:val="24"/>
          <w:lang w:val="en-US" w:eastAsia="zh-CN" w:bidi="ar"/>
        </w:rPr>
        <w:t>德勤</w:t>
      </w:r>
      <w:r>
        <w:rPr>
          <w:rFonts w:hint="eastAsia" w:ascii="微软雅黑" w:hAnsi="微软雅黑" w:eastAsia="微软雅黑" w:cs="微软雅黑"/>
          <w:b/>
          <w:bCs/>
          <w:color w:val="auto"/>
          <w:lang w:val="en-US" w:eastAsia="zh-CN" w:bidi="ar"/>
        </w:rPr>
        <w:t>印度尼西亚公司（DKI）风险咨询部副总监</w:t>
      </w:r>
    </w:p>
    <w:p w14:paraId="2BBF043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其拥有超过20年的投资、公司治理（CG）和可持续发展经验，在国际金融公司（IFC）--世界银行集团（WBG）亚太地区工作7年，在位于肯尼亚内罗毕的国际金融公司撒哈拉以南非洲地区工作4年。他因在开发和推广国际金融公司信息披露与透明度工具包方面发挥的作用，荣获 2019 年世界银行集团全球总裁奖。</w:t>
      </w:r>
    </w:p>
    <w:p w14:paraId="0BB7154E">
      <w:pPr>
        <w:spacing w:line="360" w:lineRule="auto"/>
        <w:rPr>
          <w:rFonts w:hint="eastAsia" w:ascii="微软雅黑" w:hAnsi="微软雅黑" w:eastAsia="微软雅黑" w:cs="微软雅黑"/>
          <w:b/>
          <w:bCs/>
          <w:color w:val="auto"/>
          <w:lang w:val="en-US" w:eastAsia="zh-CN" w:bidi="ar"/>
        </w:rPr>
      </w:pPr>
    </w:p>
    <w:p w14:paraId="6A52816E">
      <w:pPr>
        <w:spacing w:line="360" w:lineRule="auto"/>
        <w:rPr>
          <w:rFonts w:hint="eastAsia" w:ascii="微软雅黑" w:hAnsi="微软雅黑" w:eastAsia="微软雅黑" w:cs="微软雅黑"/>
          <w:b/>
          <w:bCs/>
          <w:sz w:val="24"/>
          <w:szCs w:val="24"/>
        </w:rPr>
      </w:pPr>
      <w:r>
        <w:drawing>
          <wp:inline distT="0" distB="0" distL="114300" distR="114300">
            <wp:extent cx="1571625" cy="1581150"/>
            <wp:effectExtent l="0" t="0" r="9525" b="0"/>
            <wp:docPr id="12" name="图片 7"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A person smiling for a picture&#10;&#10;Description automatically generated"/>
                    <pic:cNvPicPr>
                      <a:picLocks noChangeAspect="1"/>
                    </pic:cNvPicPr>
                  </pic:nvPicPr>
                  <pic:blipFill>
                    <a:blip r:embed="rId25"/>
                    <a:stretch>
                      <a:fillRect/>
                    </a:stretch>
                  </pic:blipFill>
                  <pic:spPr>
                    <a:xfrm>
                      <a:off x="0" y="0"/>
                      <a:ext cx="1571625" cy="1581150"/>
                    </a:xfrm>
                    <a:prstGeom prst="rect">
                      <a:avLst/>
                    </a:prstGeom>
                    <a:noFill/>
                    <a:ln>
                      <a:noFill/>
                    </a:ln>
                  </pic:spPr>
                </pic:pic>
              </a:graphicData>
            </a:graphic>
          </wp:inline>
        </w:drawing>
      </w:r>
      <w:r>
        <w:rPr>
          <w:rFonts w:hint="eastAsia" w:ascii="微软雅黑" w:hAnsi="微软雅黑" w:eastAsia="微软雅黑" w:cs="微软雅黑"/>
          <w:b/>
          <w:bCs/>
          <w:sz w:val="24"/>
          <w:szCs w:val="24"/>
        </w:rPr>
        <w:t>J</w:t>
      </w:r>
      <w:r>
        <w:rPr>
          <w:rFonts w:hint="eastAsia" w:ascii="微软雅黑" w:hAnsi="微软雅黑" w:eastAsia="微软雅黑" w:cs="微软雅黑"/>
          <w:b/>
          <w:bCs/>
          <w:color w:val="auto"/>
          <w:sz w:val="24"/>
          <w:szCs w:val="24"/>
          <w:lang w:val="en-US" w:eastAsia="zh-CN" w:bidi="ar"/>
        </w:rPr>
        <w:t>ulia (Yajuan) Li</w:t>
      </w:r>
    </w:p>
    <w:p w14:paraId="0E416FB9">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sz w:val="24"/>
          <w:szCs w:val="24"/>
          <w:lang w:val="en-US" w:eastAsia="zh-CN" w:bidi="ar"/>
        </w:rPr>
        <w:t>谷歌</w:t>
      </w:r>
      <w:r>
        <w:rPr>
          <w:rFonts w:hint="eastAsia" w:ascii="微软雅黑" w:hAnsi="微软雅黑" w:eastAsia="微软雅黑" w:cs="微软雅黑"/>
          <w:b/>
          <w:bCs/>
          <w:color w:val="auto"/>
          <w:lang w:val="en-US" w:eastAsia="zh-CN" w:bidi="ar"/>
        </w:rPr>
        <w:t>亚太区信任与安全项目管理负责人</w:t>
      </w:r>
    </w:p>
    <w:p w14:paraId="1A3D94A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pPr>
      <w:r>
        <w:rPr>
          <w:rFonts w:hint="eastAsia" w:ascii="微软雅黑" w:hAnsi="微软雅黑" w:eastAsia="微软雅黑" w:cs="微软雅黑"/>
          <w:color w:val="auto"/>
          <w:sz w:val="21"/>
          <w:szCs w:val="21"/>
          <w:lang w:val="en-US" w:eastAsia="zh-CN" w:bidi="ar"/>
        </w:rPr>
        <w:t>Julia女士是一位经验丰富的领导者。拥有超过18年的科技公司工作经验。她广泛的经验涵盖了产品管理、战略与运营以及用户信任。栗女士目前任谷歌亚太区信任与安全项目管理负责人，领导团队开发并实施改善用户信任的解决方案，涉及谷歌广告、商店、搜索引擎、谷歌支付和云服务等多个领域。她曾成功领导跨功能团队，为谷歌助手在全球46个地区推出新功能，管理跨职能项目。</w:t>
      </w:r>
    </w:p>
    <w:p w14:paraId="7A38F92F">
      <w:pPr>
        <w:spacing w:line="360" w:lineRule="auto"/>
      </w:pPr>
    </w:p>
    <w:p w14:paraId="3366C731">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776730" cy="1776730"/>
            <wp:effectExtent l="0" t="0" r="1270" b="1270"/>
            <wp:docPr id="9" name="Picture 2" descr="Photo of Stephen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hoto of Stephen H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76730" cy="1776730"/>
                    </a:xfrm>
                    <a:prstGeom prst="rect">
                      <a:avLst/>
                    </a:prstGeom>
                    <a:noFill/>
                  </pic:spPr>
                </pic:pic>
              </a:graphicData>
            </a:graphic>
          </wp:inline>
        </w:drawing>
      </w:r>
      <w:r>
        <w:rPr>
          <w:rFonts w:hint="eastAsia" w:ascii="微软雅黑" w:hAnsi="微软雅黑" w:eastAsia="微软雅黑" w:cs="微软雅黑"/>
          <w:b/>
          <w:bCs/>
          <w:sz w:val="24"/>
          <w:szCs w:val="24"/>
          <w:lang w:val="en-US" w:eastAsia="zh-CN"/>
        </w:rPr>
        <w:t xml:space="preserve">Stephen Ho </w:t>
      </w:r>
    </w:p>
    <w:p w14:paraId="5738C962">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Group COO at Skylab Group and commanding officer in SAF</w:t>
      </w:r>
    </w:p>
    <w:p w14:paraId="4B2C14B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Stephen是SkyLab集团的首席运营官和其子公司SkyLab Services的董事总经理。他领导着在智慧城市、战略城市管理和海事物流等领域实施企业级物联网（IoT）和边缘计算解决方案的工作。拥有20多年的国际业务管理、城市规划和技术咨询经验，Stephen在战略规划、业务拓展和知识产权管理方面具有出色的能力。他在知名组织中担任过领导职务，并拥有工程和商业领域的高级学位。Stephen的专业知识涵盖了从中国到拉丁美洲等多个地区。Stephen目前的研究领域集中在地产和商业策略。</w:t>
      </w:r>
    </w:p>
    <w:p w14:paraId="1C7C7962">
      <w:pPr>
        <w:spacing w:line="360" w:lineRule="auto"/>
        <w:rPr>
          <w:rFonts w:hint="eastAsia" w:ascii="微软雅黑" w:hAnsi="微软雅黑" w:eastAsia="微软雅黑" w:cs="微软雅黑"/>
          <w:color w:val="auto"/>
          <w:sz w:val="21"/>
          <w:szCs w:val="21"/>
          <w:lang w:val="en-US" w:eastAsia="zh-CN" w:bidi="ar"/>
        </w:rPr>
      </w:pPr>
    </w:p>
    <w:p w14:paraId="6DD247A4">
      <w:pPr>
        <w:spacing w:line="360" w:lineRule="auto"/>
        <w:rPr>
          <w:rFonts w:hint="eastAsia" w:ascii="微软雅黑" w:hAnsi="微软雅黑" w:eastAsia="微软雅黑" w:cs="微软雅黑"/>
          <w:b/>
          <w:bCs/>
          <w:sz w:val="24"/>
          <w:szCs w:val="24"/>
          <w:lang w:val="en-US" w:eastAsia="zh-CN"/>
        </w:rPr>
      </w:pPr>
      <w:r>
        <w:drawing>
          <wp:inline distT="0" distB="0" distL="114300" distR="114300">
            <wp:extent cx="1630680" cy="1605915"/>
            <wp:effectExtent l="0" t="0" r="7620" b="6985"/>
            <wp:docPr id="3074" name="Picture 2" descr="Weibiao 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eibiao X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30680" cy="1605915"/>
                    </a:xfrm>
                    <a:prstGeom prst="rect">
                      <a:avLst/>
                    </a:prstGeom>
                    <a:noFill/>
                  </pic:spPr>
                </pic:pic>
              </a:graphicData>
            </a:graphic>
          </wp:inline>
        </w:drawing>
      </w:r>
      <w:r>
        <w:rPr>
          <w:rFonts w:hint="eastAsia" w:ascii="微软雅黑" w:hAnsi="微软雅黑" w:eastAsia="微软雅黑" w:cs="微软雅黑"/>
          <w:b/>
          <w:bCs/>
          <w:sz w:val="24"/>
          <w:szCs w:val="24"/>
          <w:lang w:val="en-US" w:eastAsia="zh-CN"/>
        </w:rPr>
        <w:t>Dr Xu Weibiao</w:t>
      </w:r>
    </w:p>
    <w:p w14:paraId="54A96F1E">
      <w:pPr>
        <w:spacing w:line="36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Senior Lecturer, Finance Programme School of Business, SUSS</w:t>
      </w:r>
    </w:p>
    <w:p w14:paraId="1C7D286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color w:val="auto"/>
          <w:sz w:val="21"/>
          <w:szCs w:val="21"/>
          <w:lang w:val="en-US" w:eastAsia="zh-CN" w:bidi="ar"/>
        </w:rPr>
        <w:t>许博士是一位经验丰富的金融学者，具有扎实的数学和科学计算背景。他于2008年获得中山大学科学计算与计算机应用学士学位，并于2010年在新加坡国立大学获得数学硕士学位。随后于2015年在新加坡国立大学获得金融学博士学位。</w:t>
      </w:r>
    </w:p>
    <w:p w14:paraId="56CBAC25">
      <w:pPr>
        <w:spacing w:line="360" w:lineRule="auto"/>
        <w:rPr>
          <w:rFonts w:hint="eastAsia" w:ascii="微软雅黑" w:hAnsi="微软雅黑" w:eastAsia="微软雅黑" w:cs="微软雅黑"/>
          <w:b/>
          <w:bCs/>
          <w:color w:val="auto"/>
          <w:sz w:val="24"/>
          <w:szCs w:val="24"/>
          <w:lang w:bidi="ar"/>
        </w:rPr>
      </w:pPr>
    </w:p>
    <w:p w14:paraId="219B0673">
      <w:pPr>
        <w:spacing w:line="360" w:lineRule="auto"/>
        <w:rPr>
          <w:rFonts w:hint="eastAsia" w:ascii="微软雅黑" w:hAnsi="微软雅黑" w:eastAsia="微软雅黑" w:cs="微软雅黑"/>
          <w:b/>
          <w:bCs/>
          <w:color w:val="auto"/>
          <w:sz w:val="24"/>
          <w:szCs w:val="24"/>
          <w:lang w:bidi="ar"/>
        </w:rPr>
      </w:pPr>
      <w:r>
        <w:rPr>
          <w:rFonts w:hint="eastAsia" w:ascii="微软雅黑" w:hAnsi="微软雅黑" w:eastAsia="微软雅黑" w:cs="微软雅黑"/>
          <w:b/>
          <w:bCs/>
          <w:color w:val="auto"/>
          <w:sz w:val="24"/>
          <w:szCs w:val="24"/>
          <w:lang w:bidi="ar"/>
        </w:rPr>
        <w:t>项目须知：</w:t>
      </w:r>
    </w:p>
    <w:p w14:paraId="50537CA2">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6626DA7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【住宿】学生将入住新加坡酒店，酒店提供牙刷、牙膏、手巾、拖鞋、洗衣机等生活必备用品；</w:t>
      </w:r>
    </w:p>
    <w:p w14:paraId="7692BA8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【餐饮】酒店提供早餐，基本的互联网。</w:t>
      </w:r>
    </w:p>
    <w:p w14:paraId="0B1B6D9D">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2468245" cy="1645285"/>
            <wp:effectExtent l="0" t="0" r="0" b="5715"/>
            <wp:docPr id="1897089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312" name="图片 1"/>
                    <pic:cNvPicPr>
                      <a:picLocks noChangeAspect="1"/>
                    </pic:cNvPicPr>
                  </pic:nvPicPr>
                  <pic:blipFill>
                    <a:blip r:embed="rId28"/>
                    <a:stretch>
                      <a:fillRect/>
                    </a:stretch>
                  </pic:blipFill>
                  <pic:spPr>
                    <a:xfrm>
                      <a:off x="0" y="0"/>
                      <a:ext cx="2505619" cy="1670414"/>
                    </a:xfrm>
                    <a:prstGeom prst="rect">
                      <a:avLst/>
                    </a:prstGeom>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579370" cy="1654810"/>
            <wp:effectExtent l="0" t="0" r="0" b="0"/>
            <wp:docPr id="1231755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55939" name="图片 1"/>
                    <pic:cNvPicPr>
                      <a:picLocks noChangeAspect="1"/>
                    </pic:cNvPicPr>
                  </pic:nvPicPr>
                  <pic:blipFill>
                    <a:blip r:embed="rId29"/>
                    <a:stretch>
                      <a:fillRect/>
                    </a:stretch>
                  </pic:blipFill>
                  <pic:spPr>
                    <a:xfrm>
                      <a:off x="0" y="0"/>
                      <a:ext cx="2607967" cy="1673036"/>
                    </a:xfrm>
                    <a:prstGeom prst="rect">
                      <a:avLst/>
                    </a:prstGeom>
                  </pic:spPr>
                </pic:pic>
              </a:graphicData>
            </a:graphic>
          </wp:inline>
        </w:drawing>
      </w:r>
    </w:p>
    <w:p w14:paraId="2B51A9ED">
      <w:pPr>
        <w:rPr>
          <w:rFonts w:hint="eastAsia" w:ascii="微软雅黑" w:hAnsi="微软雅黑" w:eastAsia="微软雅黑" w:cs="微软雅黑"/>
        </w:rPr>
      </w:pPr>
    </w:p>
    <w:p w14:paraId="434D6BDC">
      <w:pPr>
        <w:spacing w:line="360" w:lineRule="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新加坡境内交通：</w:t>
      </w:r>
    </w:p>
    <w:p w14:paraId="0B834B3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lang w:eastAsia="zh-CN"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项目包含新加坡境内参访</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时的</w:t>
      </w:r>
      <w:r>
        <w:rPr>
          <w:rFonts w:hint="eastAsia" w:ascii="微软雅黑" w:hAnsi="微软雅黑" w:eastAsia="微软雅黑" w:cs="微软雅黑"/>
          <w:color w:val="000000" w:themeColor="text1"/>
          <w:sz w:val="21"/>
          <w:szCs w:val="21"/>
          <w:lang w:bidi="ar"/>
          <w14:textFill>
            <w14:solidFill>
              <w14:schemeClr w14:val="tx1"/>
            </w14:solidFill>
          </w14:textFill>
        </w:rPr>
        <w:t>交通费用</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p>
    <w:p w14:paraId="2AD346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如</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lang w:bidi="ar"/>
          <w14:textFill>
            <w14:solidFill>
              <w14:schemeClr w14:val="tx1"/>
            </w14:solidFill>
          </w14:textFill>
        </w:rPr>
        <w:t xml:space="preserve">同学们课外时间想要领略新加坡风采，交通费用由学生自理，学生可办理当地的交通卡以节省交通费。 </w:t>
      </w:r>
    </w:p>
    <w:p w14:paraId="05C3FB58">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新加坡最为快速、便捷的出行方式非地铁莫属了，五条地铁线路覆盖全城。</w:t>
      </w:r>
    </w:p>
    <w:p w14:paraId="7F1B1A85">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3376930" cy="2501265"/>
            <wp:effectExtent l="0" t="0" r="13970" b="13335"/>
            <wp:docPr id="201321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17678" name="图片 1"/>
                    <pic:cNvPicPr>
                      <a:picLocks noChangeAspect="1"/>
                    </pic:cNvPicPr>
                  </pic:nvPicPr>
                  <pic:blipFill>
                    <a:blip r:embed="rId30"/>
                    <a:stretch>
                      <a:fillRect/>
                    </a:stretch>
                  </pic:blipFill>
                  <pic:spPr>
                    <a:xfrm>
                      <a:off x="0" y="0"/>
                      <a:ext cx="3376930" cy="2501265"/>
                    </a:xfrm>
                    <a:prstGeom prst="rect">
                      <a:avLst/>
                    </a:prstGeom>
                  </pic:spPr>
                </pic:pic>
              </a:graphicData>
            </a:graphic>
          </wp:inline>
        </w:drawing>
      </w:r>
    </w:p>
    <w:p w14:paraId="4378602B">
      <w:pPr>
        <w:rPr>
          <w:rFonts w:hint="eastAsia"/>
        </w:rPr>
      </w:pPr>
    </w:p>
    <w:p w14:paraId="3DA7246F">
      <w:pPr>
        <w:spacing w:line="360" w:lineRule="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通信及网络：</w:t>
      </w:r>
      <w:r>
        <w:rPr>
          <w:rFonts w:hint="eastAsia" w:ascii="微软雅黑" w:hAnsi="微软雅黑" w:eastAsia="微软雅黑" w:cs="微软雅黑"/>
          <w:color w:val="000000" w:themeColor="text1"/>
          <w:sz w:val="21"/>
          <w:szCs w:val="21"/>
          <w:lang w:bidi="ar"/>
          <w14:textFill>
            <w14:solidFill>
              <w14:schemeClr w14:val="tx1"/>
            </w14:solidFill>
          </w14:textFill>
        </w:rPr>
        <w:t>学生可自费办理新加坡当地电话卡，或开通国际漫游，主办方可以提供咨询服务。</w:t>
      </w:r>
    </w:p>
    <w:p w14:paraId="3039238C">
      <w:pPr>
        <w:spacing w:line="360" w:lineRule="auto"/>
        <w:rPr>
          <w:rFonts w:hint="eastAsia" w:ascii="微软雅黑" w:hAnsi="微软雅黑" w:eastAsia="微软雅黑" w:cs="微软雅黑"/>
          <w:color w:val="000000" w:themeColor="text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海外保险：</w:t>
      </w:r>
      <w:r>
        <w:rPr>
          <w:rFonts w:hint="eastAsia" w:ascii="微软雅黑" w:hAnsi="微软雅黑" w:eastAsia="微软雅黑" w:cs="微软雅黑"/>
          <w:color w:val="000000" w:themeColor="text1"/>
          <w:sz w:val="21"/>
          <w:szCs w:val="21"/>
          <w:lang w:bidi="ar"/>
          <w14:textFill>
            <w14:solidFill>
              <w14:schemeClr w14:val="tx1"/>
            </w14:solidFill>
          </w14:textFill>
        </w:rPr>
        <w:t xml:space="preserve">由主办方统一为学生购买，包含医疗保险和意外保险。 </w:t>
      </w:r>
    </w:p>
    <w:p w14:paraId="65FFC5AD">
      <w:pPr>
        <w:spacing w:line="360" w:lineRule="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国际机票：</w:t>
      </w:r>
      <w:r>
        <w:rPr>
          <w:rFonts w:hint="eastAsia" w:ascii="微软雅黑" w:hAnsi="微软雅黑" w:eastAsia="微软雅黑" w:cs="微软雅黑"/>
          <w:color w:val="000000" w:themeColor="text1"/>
          <w:sz w:val="21"/>
          <w:szCs w:val="21"/>
          <w:lang w:bidi="ar"/>
          <w14:textFill>
            <w14:solidFill>
              <w14:schemeClr w14:val="tx1"/>
            </w14:solidFill>
          </w14:textFill>
        </w:rPr>
        <w:t xml:space="preserve">机票统一预订或学生自行购买，机票费用学生自行承担。 </w:t>
      </w:r>
    </w:p>
    <w:p w14:paraId="6BE77C6B">
      <w:pPr>
        <w:rPr>
          <w:rFonts w:hint="eastAsia"/>
        </w:rPr>
      </w:pPr>
    </w:p>
    <w:p w14:paraId="48EADBE1">
      <w:pPr>
        <w:rPr>
          <w:rFonts w:hint="eastAsia"/>
        </w:rPr>
      </w:pPr>
    </w:p>
    <w:p w14:paraId="7D03175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lang w:val="en-US" w:eastAsia="en-US"/>
        </w:rPr>
      </w:pPr>
      <w:r>
        <w:rPr>
          <w:rFonts w:hint="eastAsia" w:ascii="微软雅黑" w:hAnsi="微软雅黑" w:eastAsia="微软雅黑" w:cs="微软雅黑"/>
          <w:b/>
          <w:bCs/>
          <w:sz w:val="21"/>
          <w:szCs w:val="21"/>
          <w:lang w:val="en-US" w:eastAsia="en-US"/>
        </w:rPr>
        <w:t>报名截止：</w:t>
      </w:r>
      <w:r>
        <w:rPr>
          <w:rFonts w:hint="eastAsia" w:ascii="微软雅黑" w:hAnsi="微软雅黑" w:eastAsia="微软雅黑" w:cs="微软雅黑"/>
          <w:sz w:val="21"/>
          <w:szCs w:val="21"/>
          <w:lang w:val="en-US" w:eastAsia="en-US"/>
        </w:rPr>
        <w:t>202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en-US"/>
        </w:rPr>
        <w:t>年</w:t>
      </w:r>
      <w:r>
        <w:rPr>
          <w:rFonts w:hint="eastAsia" w:ascii="微软雅黑" w:hAnsi="微软雅黑" w:eastAsia="微软雅黑" w:cs="微软雅黑"/>
          <w:sz w:val="21"/>
          <w:szCs w:val="21"/>
          <w:lang w:val="en-US" w:eastAsia="zh-CN"/>
        </w:rPr>
        <w:t xml:space="preserve"> 4 </w:t>
      </w:r>
      <w:r>
        <w:rPr>
          <w:rFonts w:hint="eastAsia" w:ascii="微软雅黑" w:hAnsi="微软雅黑" w:eastAsia="微软雅黑" w:cs="微软雅黑"/>
          <w:sz w:val="21"/>
          <w:szCs w:val="21"/>
          <w:lang w:val="en-US" w:eastAsia="en-US"/>
        </w:rPr>
        <w:t>月</w:t>
      </w:r>
      <w:r>
        <w:rPr>
          <w:rFonts w:hint="eastAsia" w:ascii="微软雅黑" w:hAnsi="微软雅黑" w:eastAsia="微软雅黑" w:cs="微软雅黑"/>
          <w:sz w:val="21"/>
          <w:szCs w:val="21"/>
          <w:lang w:val="en-US" w:eastAsia="zh-CN"/>
        </w:rPr>
        <w:t xml:space="preserve">  30 </w:t>
      </w:r>
      <w:r>
        <w:rPr>
          <w:rFonts w:hint="eastAsia" w:ascii="微软雅黑" w:hAnsi="微软雅黑" w:eastAsia="微软雅黑" w:cs="微软雅黑"/>
          <w:sz w:val="21"/>
          <w:szCs w:val="21"/>
          <w:lang w:val="en-US" w:eastAsia="en-US"/>
        </w:rPr>
        <w:t>日</w:t>
      </w:r>
    </w:p>
    <w:p w14:paraId="015E412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p w14:paraId="085C8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微软雅黑" w:hAnsi="微软雅黑" w:eastAsia="微软雅黑" w:cs="微软雅黑"/>
          <w:lang w:val="en-US" w:eastAsia="zh-CN"/>
        </w:rPr>
      </w:pPr>
      <w:r>
        <w:rPr>
          <w:rFonts w:hint="eastAsia" w:ascii="微软雅黑" w:hAnsi="微软雅黑" w:eastAsia="微软雅黑" w:cs="微软雅黑"/>
          <w:b/>
          <w:bCs/>
          <w:sz w:val="21"/>
          <w:szCs w:val="21"/>
          <w:lang w:val="en-US" w:eastAsia="zh-CN"/>
        </w:rPr>
        <w:t>项目方老师：</w:t>
      </w:r>
      <w:r>
        <w:rPr>
          <w:rFonts w:hint="eastAsia" w:ascii="微软雅黑" w:hAnsi="微软雅黑" w:eastAsia="微软雅黑" w:cs="微软雅黑"/>
          <w:sz w:val="21"/>
          <w:szCs w:val="21"/>
          <w:lang w:val="en-US" w:eastAsia="zh-CN"/>
        </w:rPr>
        <w:t xml:space="preserve">  谢老师 18516384883（微信同号）</w:t>
      </w:r>
    </w:p>
    <w:p w14:paraId="4FC1C731">
      <w:pPr>
        <w:spacing w:line="360" w:lineRule="auto"/>
        <w:rPr>
          <w:rFonts w:hint="eastAsia" w:ascii="微软雅黑" w:hAnsi="微软雅黑" w:eastAsia="微软雅黑" w:cs="微软雅黑"/>
          <w:color w:val="000000" w:themeColor="text1"/>
          <w:lang w:bidi="ar"/>
          <w14:textFill>
            <w14:solidFill>
              <w14:schemeClr w14:val="tx1"/>
            </w14:solidFill>
          </w14:textFill>
        </w:rPr>
      </w:pPr>
      <w:bookmarkStart w:id="0" w:name="_GoBack"/>
      <w:bookmarkEnd w:id="0"/>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YaHei">
    <w:altName w:val="Calibri"/>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4618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60715">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2960715">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43CD2"/>
    <w:rsid w:val="00206E55"/>
    <w:rsid w:val="00463373"/>
    <w:rsid w:val="006C01DA"/>
    <w:rsid w:val="007045A1"/>
    <w:rsid w:val="00713567"/>
    <w:rsid w:val="0088274B"/>
    <w:rsid w:val="008C535E"/>
    <w:rsid w:val="008F2429"/>
    <w:rsid w:val="00920147"/>
    <w:rsid w:val="009D7CC2"/>
    <w:rsid w:val="009E6977"/>
    <w:rsid w:val="009F205B"/>
    <w:rsid w:val="00A01EB7"/>
    <w:rsid w:val="00A45B0F"/>
    <w:rsid w:val="00AF4D52"/>
    <w:rsid w:val="00BB563A"/>
    <w:rsid w:val="00D42419"/>
    <w:rsid w:val="00D47F43"/>
    <w:rsid w:val="00E27CE1"/>
    <w:rsid w:val="00E645F5"/>
    <w:rsid w:val="00E64BB5"/>
    <w:rsid w:val="00EF3554"/>
    <w:rsid w:val="00F053BF"/>
    <w:rsid w:val="00F84C63"/>
    <w:rsid w:val="00F86C73"/>
    <w:rsid w:val="00F90F89"/>
    <w:rsid w:val="00F95A1D"/>
    <w:rsid w:val="00FA6C67"/>
    <w:rsid w:val="01445BAC"/>
    <w:rsid w:val="0187748A"/>
    <w:rsid w:val="042C58C6"/>
    <w:rsid w:val="047A1D45"/>
    <w:rsid w:val="05E16DC5"/>
    <w:rsid w:val="07951A88"/>
    <w:rsid w:val="07F4578F"/>
    <w:rsid w:val="0B13156C"/>
    <w:rsid w:val="0D9A3DC8"/>
    <w:rsid w:val="0E3971CF"/>
    <w:rsid w:val="0F7554C5"/>
    <w:rsid w:val="143A0A8B"/>
    <w:rsid w:val="146A4C31"/>
    <w:rsid w:val="18382434"/>
    <w:rsid w:val="1A292427"/>
    <w:rsid w:val="1BAE581B"/>
    <w:rsid w:val="1BCC2910"/>
    <w:rsid w:val="1BFB1448"/>
    <w:rsid w:val="1E996EF9"/>
    <w:rsid w:val="1ED81AA0"/>
    <w:rsid w:val="21190C88"/>
    <w:rsid w:val="23615FFA"/>
    <w:rsid w:val="2379043D"/>
    <w:rsid w:val="24BE3012"/>
    <w:rsid w:val="2A0B0AA8"/>
    <w:rsid w:val="2B8C29EC"/>
    <w:rsid w:val="2D616C31"/>
    <w:rsid w:val="2EA37940"/>
    <w:rsid w:val="2EDE2C2F"/>
    <w:rsid w:val="32BD00FF"/>
    <w:rsid w:val="34F46334"/>
    <w:rsid w:val="35BF52B2"/>
    <w:rsid w:val="3758265C"/>
    <w:rsid w:val="38285776"/>
    <w:rsid w:val="39DB3CDF"/>
    <w:rsid w:val="3C385A3F"/>
    <w:rsid w:val="406A61B5"/>
    <w:rsid w:val="410703C2"/>
    <w:rsid w:val="41664E4D"/>
    <w:rsid w:val="42247E02"/>
    <w:rsid w:val="42FB6FC1"/>
    <w:rsid w:val="434507EC"/>
    <w:rsid w:val="44683056"/>
    <w:rsid w:val="48F13A80"/>
    <w:rsid w:val="48F50E49"/>
    <w:rsid w:val="49501428"/>
    <w:rsid w:val="4AB41B49"/>
    <w:rsid w:val="4C0344C2"/>
    <w:rsid w:val="4C6950AE"/>
    <w:rsid w:val="4D3D487B"/>
    <w:rsid w:val="4DDE719E"/>
    <w:rsid w:val="526E548C"/>
    <w:rsid w:val="546647FF"/>
    <w:rsid w:val="55F10BEA"/>
    <w:rsid w:val="56332FB1"/>
    <w:rsid w:val="582F6A50"/>
    <w:rsid w:val="5CD047B8"/>
    <w:rsid w:val="5D6711A4"/>
    <w:rsid w:val="5F290805"/>
    <w:rsid w:val="5FD117C0"/>
    <w:rsid w:val="5FE97403"/>
    <w:rsid w:val="63E073B7"/>
    <w:rsid w:val="63F96601"/>
    <w:rsid w:val="66561441"/>
    <w:rsid w:val="67436D2F"/>
    <w:rsid w:val="679F4C87"/>
    <w:rsid w:val="68950C13"/>
    <w:rsid w:val="69625B06"/>
    <w:rsid w:val="6ABB225B"/>
    <w:rsid w:val="6ADE7537"/>
    <w:rsid w:val="6DF27F6E"/>
    <w:rsid w:val="6E31670A"/>
    <w:rsid w:val="6F2614AD"/>
    <w:rsid w:val="6F631DB9"/>
    <w:rsid w:val="72AF65B7"/>
    <w:rsid w:val="73AE50CD"/>
    <w:rsid w:val="7726295E"/>
    <w:rsid w:val="776D3018"/>
    <w:rsid w:val="77C267CE"/>
    <w:rsid w:val="7DEF72AE"/>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styleId="10">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1">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4153</Words>
  <Characters>4872</Characters>
  <Lines>20</Lines>
  <Paragraphs>5</Paragraphs>
  <TotalTime>2</TotalTime>
  <ScaleCrop>false</ScaleCrop>
  <LinksUpToDate>false</LinksUpToDate>
  <CharactersWithSpaces>4997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可爱的皮皮鲁</cp:lastModifiedBy>
  <cp:lastPrinted>2024-03-06T09:28:00Z</cp:lastPrinted>
  <dcterms:modified xsi:type="dcterms:W3CDTF">2025-03-18T09:02:28Z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3CBFAD67BA094BED85C07C73B26F287F_13</vt:lpwstr>
  </property>
  <property fmtid="{D5CDD505-2E9C-101B-9397-08002B2CF9AE}" pid="4" name="KSOTemplateDocerSaveRecord">
    <vt:lpwstr>eyJoZGlkIjoiYTc1NjQ5YjEwYWUwNjkwMTk2OTIyYTZmZjJhOTZlNDMiLCJ1c2VySWQiOiIxMDAwNjc3NDUyIn0=</vt:lpwstr>
  </property>
</Properties>
</file>